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</w:pPr>
      <w:r>
        <w:rPr>
          <w:b/>
        </w:rPr>
        <w:t xml:space="preserve">AMÂNAH</w:t>
      </w:r>
    </w:p>
    <w:p>
      <w:pPr>
        <w:jc w:val="center"/>
      </w:pPr>
      <w:r>
        <w:rPr>
          <w:b/>
          <w:color w:val="C00000"/>
        </w:rPr>
        <w:t xml:space="preserve">AM</w:t>
      </w:r>
      <w:r>
        <w:rPr>
          <w:b/>
          <w:color w:val="C00000"/>
        </w:rPr>
        <w:t xml:space="preserve">Â</w:t>
      </w:r>
      <w:r>
        <w:rPr>
          <w:b/>
          <w:color w:val="C00000"/>
        </w:rPr>
        <w:t xml:space="preserve">NAH</w:t>
      </w:r>
      <w:r>
        <w:rPr>
          <w:color w:val="C00000"/>
        </w:rPr>
        <w:t xml:space="preserve"> </w:t>
      </w:r>
      <w:r>
        <w:rPr>
          <w:color w:val="C00000"/>
        </w:rPr>
        <w:t xml:space="preserve">امانت</w:t>
      </w:r>
      <w:r>
        <w:rPr>
          <w:color w:val="C00000"/>
        </w:rPr>
        <w:t xml:space="preserve"> </w:t>
      </w:r>
    </w:p>
    <w:p>
      <w:pPr>
        <w:jc w:val="both"/>
      </w:pPr>
      <w:r>
        <w:rPr>
          <w:b/>
          <w:i/>
        </w:rPr>
        <w:t xml:space="preserve">Etimology</w:t>
      </w:r>
      <w:r>
        <w:rPr>
          <w:b/>
          <w:i/>
        </w:rPr>
        <w:t xml:space="preserve"> &amp; </w:t>
      </w:r>
      <w:r>
        <w:rPr>
          <w:b/>
          <w:i/>
        </w:rPr>
        <w:t xml:space="preserve">Literal</w:t>
      </w:r>
      <w:r>
        <w:rPr>
          <w:b/>
          <w:i/>
        </w:rPr>
        <w:t xml:space="preserve"> </w:t>
      </w:r>
      <w:r>
        <w:rPr>
          <w:b/>
          <w:i/>
        </w:rPr>
        <w:t xml:space="preserve">Meaning</w:t>
      </w:r>
      <w:r>
        <w:rPr>
          <w:b/>
          <w:i/>
        </w:rPr>
        <w:t xml:space="preserve">:</w:t>
      </w:r>
      <w:r>
        <w:rPr>
          <w:i/>
        </w:rPr>
        <w:t xml:space="preserve"> </w:t>
      </w:r>
      <w:r>
        <w:t xml:space="preserve">Derived from the Arabic root </w:t>
      </w:r>
      <w:r>
        <w:rPr>
          <w:i/>
        </w:rPr>
        <w:t xml:space="preserve">’a-m-n</w:t>
      </w:r>
      <w:r>
        <w:t xml:space="preserve"> (</w:t>
      </w:r>
      <w:r>
        <w:rPr>
          <w:color w:val="FF0000"/>
        </w:rPr>
        <w:t xml:space="preserve">أ-م-ن</w:t>
      </w:r>
      <w:r>
        <w:t xml:space="preserve">), which signifies being secure, safe from fear, becoming tranquil and possessing peace of mind. From this foundational root arises:</w:t>
      </w:r>
    </w:p>
    <w:p>
      <w:r>
        <w:t xml:space="preserve">• </w:t>
      </w:r>
      <w:r>
        <w:rPr>
          <w:i/>
        </w:rPr>
        <w:t xml:space="preserve">amânah</w:t>
      </w:r>
      <w:r>
        <w:rPr>
          <w:i/>
        </w:rPr>
        <w:t xml:space="preserve">:</w:t>
      </w:r>
      <w:r>
        <w:rPr>
          <w:i/>
        </w:rPr>
        <w:t xml:space="preserve"> </w:t>
      </w:r>
      <w:r>
        <w:rPr>
          <w:color w:val="FF0000"/>
        </w:rPr>
        <w:t xml:space="preserve">أَمَانَة</w:t>
      </w:r>
      <w:r>
        <w:rPr>
          <w:color w:val="FF0000"/>
        </w:rPr>
        <w:t xml:space="preserve"> </w:t>
      </w:r>
      <w:r>
        <w:t xml:space="preserve">–</w:t>
      </w:r>
      <w:r>
        <w:rPr>
          <w:color w:val="FF0000"/>
        </w:rPr>
        <w:t xml:space="preserve"> </w:t>
      </w:r>
      <w:r>
        <w:t xml:space="preserve">trust, trustworthiness, </w:t>
      </w:r>
    </w:p>
    <w:p>
      <w:r>
        <w:t xml:space="preserve">• </w:t>
      </w:r>
      <w:r>
        <w:rPr>
          <w:i/>
        </w:rPr>
        <w:t xml:space="preserve">amân</w:t>
      </w:r>
      <w:r>
        <w:rPr>
          <w:i/>
        </w:rPr>
        <w:t xml:space="preserve">:</w:t>
      </w:r>
      <w:r>
        <w:t xml:space="preserve"> </w:t>
      </w:r>
      <w:r>
        <w:rPr>
          <w:color w:val="EE0000"/>
        </w:rPr>
        <w:t xml:space="preserve">أَمَان</w:t>
      </w:r>
      <w:r>
        <w:t xml:space="preserve"> – safety, protection, </w:t>
      </w:r>
    </w:p>
    <w:p>
      <w:r>
        <w:t xml:space="preserve">• </w:t>
      </w:r>
      <w:r>
        <w:rPr>
          <w:i/>
        </w:rPr>
        <w:t xml:space="preserve">emn</w:t>
      </w:r>
      <w:r>
        <w:rPr>
          <w:i/>
        </w:rPr>
        <w:t xml:space="preserve">:</w:t>
      </w:r>
      <w:r>
        <w:t xml:space="preserve"> </w:t>
      </w:r>
      <w:r>
        <w:rPr>
          <w:color w:val="EE0000"/>
        </w:rPr>
        <w:t xml:space="preserve">أَمْن</w:t>
      </w:r>
      <w:r>
        <w:t xml:space="preserve"> – security, </w:t>
      </w:r>
    </w:p>
    <w:p>
      <w:r>
        <w:t xml:space="preserve">• </w:t>
      </w:r>
      <w:r>
        <w:rPr>
          <w:i/>
        </w:rPr>
        <w:t xml:space="preserve">îmân</w:t>
      </w:r>
      <w:r>
        <w:rPr>
          <w:i/>
        </w:rPr>
        <w:t xml:space="preserve">:</w:t>
      </w:r>
      <w:r>
        <w:t xml:space="preserve"> </w:t>
      </w:r>
      <w:r>
        <w:rPr>
          <w:color w:val="EE0000"/>
        </w:rPr>
        <w:t xml:space="preserve">إِيمَان</w:t>
      </w:r>
      <w:r>
        <w:t xml:space="preserve"> – faith, trust in Allah,</w:t>
      </w:r>
    </w:p>
    <w:p>
      <w:r>
        <w:t xml:space="preserve">• </w:t>
      </w:r>
      <w:r>
        <w:rPr>
          <w:i/>
        </w:rPr>
        <w:t xml:space="preserve">mû’min</w:t>
      </w:r>
      <w:r>
        <w:rPr>
          <w:i/>
        </w:rPr>
        <w:t xml:space="preserve">:</w:t>
      </w:r>
      <w:r>
        <w:t xml:space="preserve"> </w:t>
      </w:r>
      <w:r>
        <w:rPr>
          <w:color w:val="EE0000"/>
        </w:rPr>
        <w:t xml:space="preserve">مُؤْمِن</w:t>
      </w:r>
      <w:r>
        <w:rPr>
          <w:color w:val="EE0000"/>
        </w:rPr>
        <w:t xml:space="preserve"> </w:t>
      </w:r>
      <w:r>
        <w:t xml:space="preserve">– the believer,</w:t>
      </w:r>
    </w:p>
    <w:p>
      <w:r>
        <w:t xml:space="preserve">• </w:t>
      </w:r>
      <w:r>
        <w:rPr>
          <w:i/>
        </w:rPr>
        <w:t xml:space="preserve">Al</w:t>
      </w:r>
      <w:r>
        <w:t xml:space="preserve">-</w:t>
      </w:r>
      <w:r>
        <w:rPr>
          <w:i/>
        </w:rPr>
        <w:t xml:space="preserve">M</w:t>
      </w:r>
      <w:r>
        <w:rPr>
          <w:i/>
        </w:rPr>
        <w:t xml:space="preserve">û’min</w:t>
      </w:r>
      <w:r>
        <w:rPr>
          <w:i/>
        </w:rPr>
        <w:t xml:space="preserve">:</w:t>
      </w:r>
      <w:r>
        <w:t xml:space="preserve"> </w:t>
      </w:r>
      <w:r>
        <w:rPr>
          <w:color w:val="EE0000"/>
        </w:rPr>
        <w:t xml:space="preserve">الْمُؤْمِن</w:t>
      </w:r>
      <w:r>
        <w:rPr>
          <w:color w:val="EE0000"/>
        </w:rPr>
        <w:t xml:space="preserve"> </w:t>
      </w:r>
      <w:r>
        <w:t xml:space="preserve">–</w:t>
      </w:r>
      <w:r>
        <w:rPr>
          <w:color w:val="FF0000"/>
        </w:rPr>
        <w:t xml:space="preserve"> </w:t>
      </w:r>
      <w:r>
        <w:t xml:space="preserve">Allah, Who is the Bestower of Security. </w:t>
      </w:r>
    </w:p>
    <w:p>
      <w:pPr>
        <w:jc w:val="both"/>
      </w:pPr>
      <w:r>
        <w:t xml:space="preserve">The core etymological hikmah lies in the intrinsic bond between all six terms: security (emn), safety (amân) and </w:t>
      </w:r>
      <w:hyperlink r:id="rIdL1">
        <w:r>
          <w:rPr>
            <w:color w:val="0563C1"/>
            <w:u w:val="single"/>
          </w:rPr>
          <w:t xml:space="preserve">îmân</w:t>
        </w:r>
      </w:hyperlink>
      <w:r>
        <w:t xml:space="preserve"> as their ultimate source in the heart are granted solely by Al-Mû’min, and it is that îmân which enables the </w:t>
      </w:r>
      <w:hyperlink r:id="rIdL2">
        <w:r>
          <w:rPr>
            <w:color w:val="0563C1"/>
            <w:u w:val="single"/>
          </w:rPr>
          <w:t xml:space="preserve">‘</w:t>
        </w:r>
      </w:hyperlink>
      <w:hyperlink r:id="rIdL2">
        <w:r>
          <w:rPr>
            <w:color w:val="0563C1"/>
            <w:u w:val="single"/>
          </w:rPr>
          <w:t xml:space="preserve">abd</w:t>
        </w:r>
      </w:hyperlink>
      <w:r>
        <w:t xml:space="preserve"> to faithfully fulfill the amânah as the </w:t>
      </w:r>
      <w:hyperlink r:id="rIdL3">
        <w:r>
          <w:rPr>
            <w:color w:val="0563C1"/>
            <w:u w:val="single"/>
          </w:rPr>
          <w:t xml:space="preserve">khalîfah</w:t>
        </w:r>
      </w:hyperlink>
      <w:r>
        <w:t xml:space="preserve"> of the earth.</w:t>
      </w:r>
      <w:r>
        <w:rPr>
          <w:b/>
        </w:rPr>
        <w:t xml:space="preserve"> </w:t>
      </w:r>
    </w:p>
    <w:p>
      <w:pPr>
        <w:jc w:val="both"/>
      </w:pPr>
      <w:r>
        <w:rPr>
          <w:b/>
        </w:rPr>
        <w:t xml:space="preserve">As an </w:t>
      </w:r>
      <w:r>
        <w:rPr>
          <w:b/>
        </w:rPr>
        <w:t xml:space="preserve">Islamic</w:t>
      </w:r>
      <w:r>
        <w:rPr>
          <w:b/>
        </w:rPr>
        <w:t xml:space="preserve"> </w:t>
      </w:r>
      <w:r>
        <w:rPr>
          <w:b/>
        </w:rPr>
        <w:t xml:space="preserve">Term</w:t>
      </w:r>
      <w:r>
        <w:rPr>
          <w:b/>
        </w:rPr>
        <w:t xml:space="preserve">:</w:t>
      </w:r>
    </w:p>
    <w:p>
      <w:pPr>
        <w:jc w:val="both"/>
      </w:pPr>
      <w:r>
        <w:rPr>
          <w:b/>
        </w:rPr>
        <w:t xml:space="preserve">1. </w:t>
      </w:r>
      <w:r>
        <w:rPr>
          <w:b/>
        </w:rPr>
        <w:t xml:space="preserve">The</w:t>
      </w:r>
      <w:r>
        <w:rPr>
          <w:b/>
        </w:rPr>
        <w:t xml:space="preserve"> </w:t>
      </w:r>
      <w:r>
        <w:rPr>
          <w:b/>
        </w:rPr>
        <w:t xml:space="preserve">Qur’anic</w:t>
      </w:r>
      <w:r>
        <w:rPr>
          <w:b/>
        </w:rPr>
        <w:t xml:space="preserve"> Foundation: </w:t>
      </w:r>
      <w:r>
        <w:t xml:space="preserve">Primary reference for the amânah al-kubrâ (supreme trust) is Surah al-Ahzâb (33:72):</w:t>
      </w:r>
    </w:p>
    <w:p>
      <w:pPr>
        <w:jc w:val="center"/>
      </w:pPr>
      <w:r>
        <w:rPr>
          <w:color w:val="EE0000"/>
        </w:rPr>
        <w:t xml:space="preserve">اِنَّا</w:t>
      </w:r>
      <w:r>
        <w:rPr>
          <w:color w:val="EE0000"/>
        </w:rPr>
        <w:t xml:space="preserve"> </w:t>
      </w:r>
      <w:r>
        <w:rPr>
          <w:color w:val="EE0000"/>
        </w:rPr>
        <w:t xml:space="preserve">عَرَضْنَا</w:t>
      </w:r>
      <w:r>
        <w:rPr>
          <w:color w:val="EE0000"/>
        </w:rPr>
        <w:t xml:space="preserve"> </w:t>
      </w:r>
      <w:r>
        <w:rPr>
          <w:color w:val="EE0000"/>
        </w:rPr>
        <w:t xml:space="preserve">اْلاَمَانَةَ</w:t>
      </w:r>
      <w:r>
        <w:rPr>
          <w:color w:val="EE0000"/>
        </w:rPr>
        <w:t xml:space="preserve"> </w:t>
      </w:r>
      <w:r>
        <w:rPr>
          <w:color w:val="EE0000"/>
        </w:rPr>
        <w:t xml:space="preserve">عَلَى</w:t>
      </w:r>
      <w:r>
        <w:rPr>
          <w:color w:val="EE0000"/>
        </w:rPr>
        <w:t xml:space="preserve"> </w:t>
      </w:r>
      <w:r>
        <w:rPr>
          <w:color w:val="EE0000"/>
        </w:rPr>
        <w:t xml:space="preserve">السَّم</w:t>
      </w:r>
      <w:r>
        <w:rPr>
          <w:color w:val="EE0000"/>
        </w:rPr>
        <w:t xml:space="preserve">ٰ</w:t>
      </w:r>
      <w:r>
        <w:rPr>
          <w:color w:val="EE0000"/>
        </w:rPr>
        <w:t xml:space="preserve">وَاتِ</w:t>
      </w:r>
      <w:r>
        <w:rPr>
          <w:color w:val="EE0000"/>
        </w:rPr>
        <w:t xml:space="preserve"> </w:t>
      </w:r>
      <w:r>
        <w:rPr>
          <w:color w:val="EE0000"/>
        </w:rPr>
        <w:t xml:space="preserve">وَاْلاَرْضِ</w:t>
      </w:r>
      <w:r>
        <w:rPr>
          <w:color w:val="EE0000"/>
        </w:rPr>
        <w:t xml:space="preserve"> </w:t>
      </w:r>
      <w:r>
        <w:rPr>
          <w:color w:val="EE0000"/>
        </w:rPr>
        <w:t xml:space="preserve">وَالْجِبَالِ</w:t>
      </w:r>
      <w:r>
        <w:rPr>
          <w:color w:val="EE0000"/>
        </w:rPr>
        <w:t xml:space="preserve"> </w:t>
      </w:r>
      <w:r>
        <w:rPr>
          <w:color w:val="EE0000"/>
        </w:rPr>
        <w:t xml:space="preserve">فَاَبَيْنَ</w:t>
      </w:r>
      <w:r>
        <w:rPr>
          <w:color w:val="EE0000"/>
        </w:rPr>
        <w:t xml:space="preserve"> </w:t>
      </w:r>
      <w:r>
        <w:rPr>
          <w:color w:val="EE0000"/>
        </w:rPr>
        <w:t xml:space="preserve">اَنْ</w:t>
      </w:r>
      <w:r>
        <w:rPr>
          <w:color w:val="EE0000"/>
        </w:rPr>
        <w:t xml:space="preserve"> </w:t>
      </w:r>
      <w:r>
        <w:rPr>
          <w:color w:val="EE0000"/>
        </w:rPr>
        <w:t xml:space="preserve">يَحْمِلْنَهَا</w:t>
      </w:r>
      <w:r>
        <w:rPr>
          <w:color w:val="EE0000"/>
        </w:rPr>
        <w:t xml:space="preserve"> </w:t>
      </w:r>
      <w:r>
        <w:rPr>
          <w:color w:val="EE0000"/>
        </w:rPr>
        <w:t xml:space="preserve">وَاَشْفَقْنَ</w:t>
      </w:r>
      <w:r>
        <w:rPr>
          <w:color w:val="EE0000"/>
        </w:rPr>
        <w:t xml:space="preserve"> </w:t>
      </w:r>
      <w:r>
        <w:rPr>
          <w:color w:val="EE0000"/>
        </w:rPr>
        <w:t xml:space="preserve">مِنْهَا</w:t>
      </w:r>
      <w:r>
        <w:rPr>
          <w:color w:val="EE0000"/>
        </w:rPr>
        <w:t xml:space="preserve"> </w:t>
      </w:r>
      <w:r>
        <w:rPr>
          <w:color w:val="EE0000"/>
        </w:rPr>
        <w:t xml:space="preserve">وَحَمَلَهَا</w:t>
      </w:r>
      <w:r>
        <w:rPr>
          <w:color w:val="EE0000"/>
        </w:rPr>
        <w:t xml:space="preserve"> </w:t>
      </w:r>
      <w:r>
        <w:rPr>
          <w:color w:val="EE0000"/>
        </w:rPr>
        <w:t xml:space="preserve">اْلاِنْسَانُ</w:t>
      </w:r>
      <w:r>
        <w:rPr>
          <w:color w:val="EE0000"/>
        </w:rPr>
        <w:t xml:space="preserve">ۜ</w:t>
      </w:r>
      <w:r>
        <w:rPr>
          <w:color w:val="EE0000"/>
        </w:rPr>
        <w:t xml:space="preserve"> </w:t>
      </w:r>
    </w:p>
    <w:p>
      <w:pPr>
        <w:jc w:val="both"/>
      </w:pPr>
      <w:r>
        <w:rPr>
          <w:i/>
        </w:rPr>
        <w:t xml:space="preserve">“</w:t>
      </w:r>
      <w:r>
        <w:rPr>
          <w:i/>
        </w:rPr>
        <w:t xml:space="preserve">Indeed</w:t>
      </w:r>
      <w:r>
        <w:rPr>
          <w:i/>
        </w:rPr>
        <w:t xml:space="preserve">, </w:t>
      </w:r>
      <w:r>
        <w:rPr>
          <w:i/>
        </w:rPr>
        <w:t xml:space="preserve">We</w:t>
      </w:r>
      <w:r>
        <w:rPr>
          <w:i/>
        </w:rPr>
        <w:t xml:space="preserve"> </w:t>
      </w:r>
      <w:r>
        <w:rPr>
          <w:i/>
        </w:rPr>
        <w:t xml:space="preserve">offered</w:t>
      </w:r>
      <w:r>
        <w:rPr>
          <w:i/>
        </w:rPr>
        <w:t xml:space="preserve"> </w:t>
      </w:r>
      <w:r>
        <w:rPr>
          <w:i/>
        </w:rPr>
        <w:t xml:space="preserve">the</w:t>
      </w:r>
      <w:r>
        <w:rPr>
          <w:i/>
        </w:rPr>
        <w:t xml:space="preserve"> </w:t>
      </w:r>
      <w:r>
        <w:rPr>
          <w:i/>
        </w:rPr>
        <w:t xml:space="preserve">amânah</w:t>
      </w:r>
      <w:r>
        <w:rPr>
          <w:i/>
        </w:rPr>
        <w:t xml:space="preserve"> </w:t>
      </w:r>
      <w:r>
        <w:rPr>
          <w:i/>
        </w:rPr>
        <w:t xml:space="preserve">to</w:t>
      </w:r>
      <w:r>
        <w:rPr>
          <w:i/>
        </w:rPr>
        <w:t xml:space="preserve"> </w:t>
      </w:r>
      <w:r>
        <w:rPr>
          <w:i/>
        </w:rPr>
        <w:t xml:space="preserve">the</w:t>
      </w:r>
      <w:r>
        <w:rPr>
          <w:i/>
        </w:rPr>
        <w:t xml:space="preserve"> </w:t>
      </w:r>
      <w:hyperlink r:id="rIdL4">
        <w:r>
          <w:rPr>
            <w:i/>
            <w:color w:val="0563C1"/>
            <w:u w:val="single"/>
          </w:rPr>
          <w:t xml:space="preserve">samâwât</w:t>
        </w:r>
      </w:hyperlink>
      <w:r>
        <w:rPr>
          <w:i/>
        </w:rPr>
        <w:t xml:space="preserve"> </w:t>
      </w:r>
      <w:r>
        <w:rPr>
          <w:i/>
        </w:rPr>
        <w:t xml:space="preserve">and</w:t>
      </w:r>
      <w:r>
        <w:rPr>
          <w:i/>
        </w:rPr>
        <w:t xml:space="preserve"> </w:t>
      </w:r>
      <w:r>
        <w:rPr>
          <w:i/>
        </w:rPr>
        <w:t xml:space="preserve">the</w:t>
      </w:r>
      <w:r>
        <w:rPr>
          <w:i/>
        </w:rPr>
        <w:t xml:space="preserve"> </w:t>
      </w:r>
      <w:r>
        <w:rPr>
          <w:i/>
        </w:rPr>
        <w:t xml:space="preserve">earth</w:t>
      </w:r>
      <w:r>
        <w:rPr>
          <w:i/>
        </w:rPr>
        <w:t xml:space="preserve"> </w:t>
      </w:r>
      <w:r>
        <w:rPr>
          <w:i/>
        </w:rPr>
        <w:t xml:space="preserve">and</w:t>
      </w:r>
      <w:r>
        <w:rPr>
          <w:i/>
        </w:rPr>
        <w:t xml:space="preserve"> </w:t>
      </w:r>
      <w:r>
        <w:rPr>
          <w:i/>
        </w:rPr>
        <w:t xml:space="preserve">the</w:t>
      </w:r>
      <w:r>
        <w:rPr>
          <w:i/>
        </w:rPr>
        <w:t xml:space="preserve"> </w:t>
      </w:r>
      <w:r>
        <w:rPr>
          <w:i/>
        </w:rPr>
        <w:t xml:space="preserve">mountains</w:t>
      </w:r>
      <w:r>
        <w:rPr>
          <w:i/>
        </w:rPr>
        <w:t xml:space="preserve">, but they </w:t>
      </w:r>
      <w:r>
        <w:rPr>
          <w:i/>
        </w:rPr>
        <w:t xml:space="preserve">declined</w:t>
      </w:r>
      <w:r>
        <w:rPr>
          <w:i/>
        </w:rPr>
        <w:t xml:space="preserve"> </w:t>
      </w:r>
      <w:r>
        <w:rPr>
          <w:i/>
        </w:rPr>
        <w:t xml:space="preserve">to</w:t>
      </w:r>
      <w:r>
        <w:rPr>
          <w:i/>
        </w:rPr>
        <w:t xml:space="preserve"> </w:t>
      </w:r>
      <w:r>
        <w:rPr>
          <w:i/>
        </w:rPr>
        <w:t xml:space="preserve">bear</w:t>
      </w:r>
      <w:r>
        <w:rPr>
          <w:i/>
        </w:rPr>
        <w:t xml:space="preserve"> it </w:t>
      </w:r>
      <w:r>
        <w:rPr>
          <w:i/>
        </w:rPr>
        <w:t xml:space="preserve">and</w:t>
      </w:r>
      <w:r>
        <w:rPr>
          <w:i/>
        </w:rPr>
        <w:t xml:space="preserve"> </w:t>
      </w:r>
      <w:r>
        <w:rPr>
          <w:i/>
        </w:rPr>
        <w:t xml:space="preserve">feared</w:t>
      </w:r>
      <w:r>
        <w:rPr>
          <w:i/>
        </w:rPr>
        <w:t xml:space="preserve"> it; but </w:t>
      </w:r>
      <w:r>
        <w:rPr>
          <w:i/>
        </w:rPr>
        <w:t xml:space="preserve">man</w:t>
      </w:r>
      <w:r>
        <w:rPr>
          <w:i/>
        </w:rPr>
        <w:t xml:space="preserve"> </w:t>
      </w:r>
      <w:r>
        <w:rPr>
          <w:i/>
        </w:rPr>
        <w:t xml:space="preserve">bore</w:t>
      </w:r>
      <w:r>
        <w:rPr>
          <w:i/>
        </w:rPr>
        <w:t xml:space="preserve"> it...”</w:t>
      </w:r>
    </w:p>
    <w:p>
      <w:pPr>
        <w:jc w:val="both"/>
      </w:pPr>
      <w:r>
        <w:rPr>
          <w:b/>
        </w:rPr>
        <w:t xml:space="preserve">2. </w:t>
      </w:r>
      <w:r>
        <w:rPr>
          <w:b/>
        </w:rPr>
        <w:t xml:space="preserve">The</w:t>
      </w:r>
      <w:r>
        <w:rPr>
          <w:b/>
        </w:rPr>
        <w:t xml:space="preserve"> </w:t>
      </w:r>
      <w:r>
        <w:rPr>
          <w:b/>
        </w:rPr>
        <w:t xml:space="preserve">Different</w:t>
      </w:r>
      <w:r>
        <w:rPr>
          <w:b/>
        </w:rPr>
        <w:t xml:space="preserve"> </w:t>
      </w:r>
      <w:r>
        <w:rPr>
          <w:b/>
        </w:rPr>
        <w:t xml:space="preserve">Aspects</w:t>
      </w:r>
      <w:r>
        <w:rPr>
          <w:b/>
        </w:rPr>
        <w:t xml:space="preserve"> of </w:t>
      </w:r>
      <w:r>
        <w:rPr>
          <w:b/>
        </w:rPr>
        <w:t xml:space="preserve">the</w:t>
      </w:r>
      <w:r>
        <w:rPr>
          <w:b/>
        </w:rPr>
        <w:t xml:space="preserve"> </w:t>
      </w:r>
      <w:r>
        <w:rPr>
          <w:b/>
        </w:rPr>
        <w:t xml:space="preserve">Amânah</w:t>
      </w:r>
      <w:r>
        <w:rPr>
          <w:b/>
        </w:rPr>
        <w:t xml:space="preserve">:</w:t>
      </w:r>
      <w:r>
        <w:rPr>
          <w:b/>
        </w:rPr>
        <w:t xml:space="preserve"> </w:t>
      </w:r>
    </w:p>
    <w:p>
      <w:pPr>
        <w:jc w:val="both"/>
      </w:pPr>
      <w:r>
        <w:t xml:space="preserve">Amânah has been elucidated by the </w:t>
      </w:r>
      <w:hyperlink r:id="rIdL5">
        <w:r>
          <w:rPr>
            <w:color w:val="0563C1"/>
            <w:u w:val="single"/>
          </w:rPr>
          <w:t xml:space="preserve">mufassirs</w:t>
        </w:r>
      </w:hyperlink>
      <w:r>
        <w:t xml:space="preserve"> through the following essential interrelated aspects:</w:t>
      </w:r>
    </w:p>
    <w:p>
      <w:pPr>
        <w:jc w:val="both"/>
      </w:pPr>
      <w:r>
        <w:rPr>
          <w:b/>
        </w:rPr>
        <w:t xml:space="preserve">Taklîf</w:t>
      </w:r>
      <w:r>
        <w:rPr>
          <w:b/>
        </w:rPr>
        <w:t xml:space="preserve"> &amp; ‘</w:t>
      </w:r>
      <w:r>
        <w:rPr>
          <w:b/>
        </w:rPr>
        <w:t xml:space="preserve">Ibâdah</w:t>
      </w:r>
      <w:r>
        <w:rPr>
          <w:b/>
        </w:rPr>
        <w:t xml:space="preserve"> (Moral </w:t>
      </w:r>
      <w:r>
        <w:rPr>
          <w:b/>
        </w:rPr>
        <w:t xml:space="preserve">Accountability</w:t>
      </w:r>
      <w:r>
        <w:rPr>
          <w:b/>
        </w:rPr>
        <w:t xml:space="preserve"> &amp; </w:t>
      </w:r>
      <w:r>
        <w:rPr>
          <w:b/>
        </w:rPr>
        <w:t xml:space="preserve">Obligations</w:t>
      </w:r>
      <w:r>
        <w:rPr>
          <w:b/>
        </w:rPr>
        <w:t xml:space="preserve">): </w:t>
      </w:r>
      <w:r>
        <w:t xml:space="preserve">The moral accountability, religious duties and obligations ordained by Allah that humanity alone undertook to fulfill, encompassing obedience to both the Sharî’ah derived from Allah’s attribute of </w:t>
      </w:r>
      <w:hyperlink r:id="rIdL6">
        <w:r>
          <w:rPr>
            <w:color w:val="0563C1"/>
            <w:u w:val="single"/>
          </w:rPr>
          <w:t xml:space="preserve">Kalâm</w:t>
        </w:r>
      </w:hyperlink>
      <w:r>
        <w:t xml:space="preserve"> and </w:t>
      </w:r>
      <w:hyperlink r:id="rIdL7">
        <w:r>
          <w:rPr>
            <w:color w:val="0563C1"/>
            <w:u w:val="single"/>
          </w:rPr>
          <w:t xml:space="preserve">Takwînî</w:t>
        </w:r>
      </w:hyperlink>
      <w:r>
        <w:t xml:space="preserve"> Sharî’ah derived from Allah’s attribute of </w:t>
      </w:r>
      <w:hyperlink r:id="rIdL8">
        <w:r>
          <w:rPr>
            <w:color w:val="0563C1"/>
            <w:u w:val="single"/>
          </w:rPr>
          <w:t xml:space="preserve">Irâdah</w:t>
        </w:r>
      </w:hyperlink>
      <w:r>
        <w:t xml:space="preserve">.</w:t>
      </w:r>
    </w:p>
    <w:p>
      <w:pPr>
        <w:jc w:val="both"/>
      </w:pPr>
      <w:r>
        <w:rPr>
          <w:b/>
        </w:rPr>
        <w:t xml:space="preserve">‘</w:t>
      </w:r>
      <w:r>
        <w:rPr>
          <w:b/>
        </w:rPr>
        <w:t xml:space="preserve">Aql</w:t>
      </w:r>
      <w:r>
        <w:rPr>
          <w:b/>
        </w:rPr>
        <w:t xml:space="preserve"> &amp; </w:t>
      </w:r>
      <w:r>
        <w:rPr>
          <w:b/>
        </w:rPr>
        <w:t xml:space="preserve">Ikhtiyâr</w:t>
      </w:r>
      <w:r>
        <w:rPr>
          <w:b/>
        </w:rPr>
        <w:t xml:space="preserve"> (</w:t>
      </w:r>
      <w:r>
        <w:rPr>
          <w:b/>
        </w:rPr>
        <w:t xml:space="preserve">Intellect</w:t>
      </w:r>
      <w:r>
        <w:rPr>
          <w:b/>
        </w:rPr>
        <w:t xml:space="preserve">/</w:t>
      </w:r>
      <w:r>
        <w:rPr>
          <w:b/>
        </w:rPr>
        <w:t xml:space="preserve">Mind</w:t>
      </w:r>
      <w:r>
        <w:rPr>
          <w:b/>
        </w:rPr>
        <w:t xml:space="preserve"> &amp; </w:t>
      </w:r>
      <w:r>
        <w:rPr>
          <w:b/>
        </w:rPr>
        <w:t xml:space="preserve">Free</w:t>
      </w:r>
      <w:r>
        <w:rPr>
          <w:b/>
        </w:rPr>
        <w:t xml:space="preserve"> Will): </w:t>
      </w:r>
      <w:r>
        <w:t xml:space="preserve">The intellect and capacity for choice granted to humanity to discern and choose between </w:t>
      </w:r>
      <w:hyperlink r:id="rIdL9">
        <w:r>
          <w:rPr>
            <w:i/>
            <w:color w:val="0563C1"/>
            <w:u w:val="single"/>
          </w:rPr>
          <w:t xml:space="preserve">haqq</w:t>
        </w:r>
      </w:hyperlink>
      <w:r>
        <w:t xml:space="preserve"> and </w:t>
      </w:r>
      <w:hyperlink r:id="rIdL10">
        <w:r>
          <w:rPr>
            <w:i/>
            <w:color w:val="0563C1"/>
            <w:u w:val="single"/>
          </w:rPr>
          <w:t xml:space="preserve">bâtil</w:t>
        </w:r>
      </w:hyperlink>
      <w:r>
        <w:t xml:space="preserve">.</w:t>
      </w:r>
    </w:p>
    <w:p>
      <w:pPr>
        <w:jc w:val="both"/>
      </w:pPr>
      <w:r>
        <w:rPr>
          <w:b/>
        </w:rPr>
        <w:t xml:space="preserve">Al-</w:t>
      </w:r>
      <w:r>
        <w:rPr>
          <w:b/>
        </w:rPr>
        <w:t xml:space="preserve">Wafâ</w:t>
      </w:r>
      <w:r>
        <w:rPr>
          <w:b/>
        </w:rPr>
        <w:t xml:space="preserve">’ &amp; Al</w:t>
      </w:r>
      <w:r>
        <w:rPr>
          <w:b/>
        </w:rPr>
        <w:t xml:space="preserve">-‘</w:t>
      </w:r>
      <w:r>
        <w:rPr>
          <w:b/>
        </w:rPr>
        <w:t xml:space="preserve">Adâlah</w:t>
      </w:r>
      <w:r>
        <w:rPr>
          <w:b/>
        </w:rPr>
        <w:t xml:space="preserve"> (</w:t>
      </w:r>
      <w:r>
        <w:rPr>
          <w:b/>
        </w:rPr>
        <w:t xml:space="preserve">Fulfillment</w:t>
      </w:r>
      <w:r>
        <w:rPr>
          <w:b/>
        </w:rPr>
        <w:t xml:space="preserve"> of </w:t>
      </w:r>
      <w:r>
        <w:rPr>
          <w:b/>
        </w:rPr>
        <w:t xml:space="preserve">Rights</w:t>
      </w:r>
      <w:r>
        <w:rPr>
          <w:b/>
        </w:rPr>
        <w:t xml:space="preserve"> &amp; </w:t>
      </w:r>
      <w:r>
        <w:rPr>
          <w:b/>
        </w:rPr>
        <w:t xml:space="preserve">Justice</w:t>
      </w:r>
      <w:r>
        <w:rPr>
          <w:b/>
        </w:rPr>
        <w:t xml:space="preserve">): </w:t>
      </w:r>
      <w:r>
        <w:t xml:space="preserve">Faithful adherence to covenants, rights and justice toward both the Creator and creation without betrayal (</w:t>
      </w:r>
      <w:r>
        <w:rPr>
          <w:i/>
        </w:rPr>
        <w:t xml:space="preserve">khiyânah</w:t>
      </w:r>
      <w:r>
        <w:t xml:space="preserve">).</w:t>
      </w:r>
    </w:p>
    <w:p>
      <w:pPr>
        <w:jc w:val="both"/>
      </w:pPr>
      <w:r>
        <w:rPr>
          <w:b/>
        </w:rPr>
        <w:t xml:space="preserve">Ana (Self-</w:t>
      </w:r>
      <w:r>
        <w:rPr>
          <w:b/>
        </w:rPr>
        <w:t xml:space="preserve">Awareness</w:t>
      </w:r>
      <w:r>
        <w:rPr>
          <w:b/>
        </w:rPr>
        <w:t xml:space="preserve"> &amp; Ego): </w:t>
      </w:r>
      <w:r>
        <w:t xml:space="preserve">The human </w:t>
      </w:r>
      <w:hyperlink r:id="rIdL11">
        <w:r>
          <w:rPr>
            <w:i/>
            <w:color w:val="0563C1"/>
            <w:u w:val="single"/>
          </w:rPr>
          <w:t xml:space="preserve">ana</w:t>
        </w:r>
      </w:hyperlink>
      <w:r>
        <w:t xml:space="preserve"> as a primary aspect and key of the amânah. It serves as a relative unit of measurement (vâhid-i kıyasî) and an instrument of comprehension, forming a hypothetical scale that enables the ‘abd to contrast his own limited attributes, such as partial power, knowledge and ownership, with the absolute attributes and names of Allah, thereby attaining genuine </w:t>
      </w:r>
      <w:hyperlink r:id="rIdL12">
        <w:r>
          <w:rPr>
            <w:i/>
            <w:color w:val="0563C1"/>
            <w:u w:val="single"/>
          </w:rPr>
          <w:t xml:space="preserve">ma‘</w:t>
        </w:r>
      </w:hyperlink>
      <w:hyperlink r:id="rIdL12">
        <w:r>
          <w:rPr>
            <w:i/>
            <w:color w:val="0563C1"/>
            <w:u w:val="single"/>
          </w:rPr>
          <w:t xml:space="preserve">rifatullah</w:t>
        </w:r>
      </w:hyperlink>
      <w:r>
        <w:t xml:space="preserve">.</w:t>
      </w:r>
    </w:p>
    <w:p>
      <w:pPr>
        <w:jc w:val="both"/>
      </w:pPr>
      <w:r>
        <w:rPr>
          <w:b/>
        </w:rPr>
        <w:t xml:space="preserve">3. General &amp; </w:t>
      </w:r>
      <w:r>
        <w:rPr>
          <w:b/>
        </w:rPr>
        <w:t xml:space="preserve">Historical</w:t>
      </w:r>
      <w:r>
        <w:rPr>
          <w:b/>
        </w:rPr>
        <w:t xml:space="preserve"> </w:t>
      </w:r>
      <w:r>
        <w:rPr>
          <w:b/>
        </w:rPr>
        <w:t xml:space="preserve">Meaning</w:t>
      </w:r>
      <w:r>
        <w:rPr>
          <w:b/>
        </w:rPr>
        <w:t xml:space="preserve"> of </w:t>
      </w:r>
      <w:r>
        <w:rPr>
          <w:b/>
        </w:rPr>
        <w:t xml:space="preserve">Amânah</w:t>
      </w:r>
      <w:r>
        <w:rPr>
          <w:b/>
        </w:rPr>
        <w:t xml:space="preserve">:</w:t>
      </w:r>
      <w:r>
        <w:t xml:space="preserve"> Anything committed to the charge of another for safekeeping; specifically including the sacred relics (</w:t>
      </w:r>
      <w:r>
        <w:rPr>
          <w:i/>
        </w:rPr>
        <w:t xml:space="preserve">al-</w:t>
      </w:r>
      <w:r>
        <w:rPr>
          <w:i/>
        </w:rPr>
        <w:t xml:space="preserve">Amanâ</w:t>
      </w:r>
      <w:r>
        <w:rPr>
          <w:i/>
        </w:rPr>
        <w:t xml:space="preserve">h</w:t>
      </w:r>
      <w:r>
        <w:rPr>
          <w:i/>
        </w:rPr>
        <w:t xml:space="preserve"> al-</w:t>
      </w:r>
      <w:r>
        <w:rPr>
          <w:i/>
        </w:rPr>
        <w:t xml:space="preserve">Muqaddasah</w:t>
      </w:r>
      <w:r>
        <w:t xml:space="preserve">) of the Noble Prophet Muhammad (asm) preserved under the protection and responsibility of the </w:t>
      </w:r>
      <w:r>
        <w:rPr>
          <w:i/>
        </w:rPr>
        <w:t xml:space="preserve">khalîfah</w:t>
      </w:r>
      <w:r>
        <w:t xml:space="preserve">.</w:t>
      </w:r>
    </w:p>
    <w:p>
      <w:pPr>
        <w:jc w:val="both"/>
      </w:pPr>
      <w:r>
        <w:rPr>
          <w:b/>
          <w:i/>
        </w:rPr>
        <w:t xml:space="preserve">For</w:t>
      </w:r>
      <w:r>
        <w:rPr>
          <w:b/>
          <w:i/>
        </w:rPr>
        <w:t xml:space="preserve"> </w:t>
      </w:r>
      <w:r>
        <w:rPr>
          <w:b/>
          <w:i/>
        </w:rPr>
        <w:t xml:space="preserve">further</w:t>
      </w:r>
      <w:r>
        <w:rPr>
          <w:b/>
          <w:i/>
        </w:rPr>
        <w:t xml:space="preserve"> </w:t>
      </w:r>
      <w:r>
        <w:rPr>
          <w:b/>
          <w:i/>
        </w:rPr>
        <w:t xml:space="preserve">explanation</w:t>
      </w:r>
      <w:r>
        <w:rPr>
          <w:b/>
          <w:i/>
        </w:rPr>
        <w:t xml:space="preserve">, </w:t>
      </w:r>
      <w:r>
        <w:rPr>
          <w:b/>
          <w:i/>
        </w:rPr>
        <w:t xml:space="preserve">please</w:t>
      </w:r>
      <w:r>
        <w:rPr>
          <w:b/>
          <w:i/>
        </w:rPr>
        <w:t xml:space="preserve"> </w:t>
      </w:r>
      <w:r>
        <w:rPr>
          <w:b/>
          <w:i/>
        </w:rPr>
        <w:t xml:space="preserve">refer</w:t>
      </w:r>
      <w:r>
        <w:rPr>
          <w:b/>
          <w:i/>
        </w:rPr>
        <w:t xml:space="preserve"> </w:t>
      </w:r>
      <w:r>
        <w:rPr>
          <w:b/>
          <w:i/>
        </w:rPr>
        <w:t xml:space="preserve">to</w:t>
      </w:r>
      <w:r>
        <w:rPr>
          <w:b/>
          <w:i/>
        </w:rPr>
        <w:t xml:space="preserve"> </w:t>
      </w:r>
      <w:hyperlink r:id="rIdL13">
        <w:r>
          <w:rPr>
            <w:b/>
            <w:i/>
            <w:color w:val="0563C1"/>
            <w:u w:val="single"/>
          </w:rPr>
          <w:t xml:space="preserve">the</w:t>
        </w:r>
      </w:hyperlink>
      <w:hyperlink r:id="rIdL13">
        <w:r>
          <w:rPr>
            <w:b/>
            <w:i/>
            <w:color w:val="0563C1"/>
            <w:u w:val="single"/>
          </w:rPr>
          <w:t xml:space="preserve"> </w:t>
        </w:r>
      </w:hyperlink>
      <w:hyperlink r:id="rIdL13">
        <w:r>
          <w:rPr>
            <w:b/>
            <w:i/>
            <w:color w:val="0563C1"/>
            <w:u w:val="single"/>
          </w:rPr>
          <w:t xml:space="preserve">Sixth</w:t>
        </w:r>
      </w:hyperlink>
      <w:hyperlink r:id="rIdL13">
        <w:r>
          <w:rPr>
            <w:b/>
            <w:i/>
            <w:color w:val="0563C1"/>
            <w:u w:val="single"/>
          </w:rPr>
          <w:t xml:space="preserve"> Word</w:t>
        </w:r>
      </w:hyperlink>
      <w:r>
        <w:rPr>
          <w:b/>
          <w:i/>
        </w:rPr>
        <w:t xml:space="preserve">, </w:t>
      </w:r>
      <w:r>
        <w:rPr>
          <w:b/>
          <w:i/>
        </w:rPr>
        <w:t xml:space="preserve">the</w:t>
      </w:r>
      <w:r>
        <w:rPr>
          <w:b/>
          <w:i/>
        </w:rPr>
        <w:t xml:space="preserve"> </w:t>
      </w:r>
      <w:hyperlink r:id="rIdL14">
        <w:r>
          <w:rPr>
            <w:b/>
            <w:i/>
            <w:color w:val="0563C1"/>
            <w:u w:val="single"/>
          </w:rPr>
          <w:t xml:space="preserve">Eleventh</w:t>
        </w:r>
      </w:hyperlink>
      <w:hyperlink r:id="rIdL14">
        <w:r>
          <w:rPr>
            <w:b/>
            <w:i/>
            <w:color w:val="0563C1"/>
            <w:u w:val="single"/>
          </w:rPr>
          <w:t xml:space="preserve"> Word</w:t>
        </w:r>
      </w:hyperlink>
      <w:r>
        <w:rPr>
          <w:b/>
          <w:i/>
        </w:rPr>
        <w:t xml:space="preserve"> </w:t>
      </w:r>
      <w:r>
        <w:rPr>
          <w:b/>
          <w:i/>
        </w:rPr>
        <w:t xml:space="preserve">and</w:t>
      </w:r>
      <w:r>
        <w:rPr>
          <w:b/>
          <w:i/>
        </w:rPr>
        <w:t xml:space="preserve"> </w:t>
      </w:r>
      <w:r>
        <w:rPr>
          <w:b/>
          <w:i/>
        </w:rPr>
        <w:t xml:space="preserve">the</w:t>
      </w:r>
      <w:r>
        <w:rPr>
          <w:b/>
          <w:i/>
        </w:rPr>
        <w:t xml:space="preserve"> </w:t>
      </w:r>
      <w:hyperlink r:id="rIdL15">
        <w:r>
          <w:rPr>
            <w:b/>
            <w:i/>
            <w:color w:val="0563C1"/>
            <w:u w:val="single"/>
          </w:rPr>
          <w:t xml:space="preserve">Thirtieth</w:t>
        </w:r>
      </w:hyperlink>
      <w:hyperlink r:id="rIdL15">
        <w:r>
          <w:rPr>
            <w:b/>
            <w:i/>
            <w:color w:val="0563C1"/>
            <w:u w:val="single"/>
          </w:rPr>
          <w:t xml:space="preserve"> Word</w:t>
        </w:r>
      </w:hyperlink>
      <w:r>
        <w:rPr>
          <w:b/>
          <w:i/>
        </w:rPr>
        <w:t xml:space="preserve">.</w:t>
      </w:r>
    </w:p>
    <w:sectPr>
      <w:pgSz w:w="11906" w:h="16838"/>
      <w:pgMar w:top="1417" w:right="1417" w:bottom="1417" w:left="1417" w:header="708" w:footer="708" w:gutter="0"/>
    </w:sectPr>
  </w:body>
</w:document>
</file>

<file path=word/fontTable.xml><?xml version="1.0" encoding="utf-8"?>
<w:fonts xmlns:w="http://schemas.openxmlformats.org/wordprocessingml/2006/main">
  <w:font w:name="Calibri">
    <w:charset w:val="A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</w:settings>
</file>

<file path=word/styles.xml><?xml version="1.0" encoding="utf-8"?>
<w:styles xmlns:w="http://schemas.openxmlformats.org/wordprocessingml/2006/main">
  <w:docDefaults>
    <w:pPrDefault>
      <w:pPr>
        <w:spacing w:after="0" w:line="240" w:lineRule="auto"/>
      </w:pPr>
    </w:pPrDefault>
    <w:rPrDefault>
      <w:rPr>
        <w:rFonts w:ascii="Calibri" w:hAnsi="Calibri" w:cs="Calibri"/>
        <w:sz w:val="24"/>
        <w:szCs w:val="24"/>
      </w:rPr>
    </w:r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L1" Type="http://schemas.openxmlformats.org/officeDocument/2006/relationships/hyperlink" Target="https://risaleinur.online/english/_dictionary/I/IMAN.php" TargetMode="External"/><Relationship Id="rIdL2" Type="http://schemas.openxmlformats.org/officeDocument/2006/relationships/hyperlink" Target="https://risaleinur.online/english/_dictionary/A/ABD.php" TargetMode="External"/><Relationship Id="rIdL3" Type="http://schemas.openxmlformats.org/officeDocument/2006/relationships/hyperlink" Target="https://risaleinur.online/english/_dictionary/K/KHALIFAH.php" TargetMode="External"/><Relationship Id="rIdL4" Type="http://schemas.openxmlformats.org/officeDocument/2006/relationships/hyperlink" Target="https://risaleinur.online/english/_dictionary/S/SAMAWAT.php" TargetMode="External"/><Relationship Id="rIdL5" Type="http://schemas.openxmlformats.org/officeDocument/2006/relationships/hyperlink" Target="https://risaleinur.online/english/_dictionary/M/MUFASSIR.php" TargetMode="External"/><Relationship Id="rIdL6" Type="http://schemas.openxmlformats.org/officeDocument/2006/relationships/hyperlink" Target="https://risaleinur.online/english/_dictionary/K/KALAM.php" TargetMode="External"/><Relationship Id="rIdL7" Type="http://schemas.openxmlformats.org/officeDocument/2006/relationships/hyperlink" Target="https://risaleinur.online/english/_dictionary/T/TAKWINI.php" TargetMode="External"/><Relationship Id="rIdL8" Type="http://schemas.openxmlformats.org/officeDocument/2006/relationships/hyperlink" Target="https://risaleinur.online/english/_dictionary/I/IRADAH.php" TargetMode="External"/><Relationship Id="rIdL9" Type="http://schemas.openxmlformats.org/officeDocument/2006/relationships/hyperlink" Target="https://risaleinur.online/english/_dictionary/H/HAQQ.php" TargetMode="External"/><Relationship Id="rIdL10" Type="http://schemas.openxmlformats.org/officeDocument/2006/relationships/hyperlink" Target="https://risaleinur.online/english/_dictionary/B/BATIL.php" TargetMode="External"/><Relationship Id="rIdL11" Type="http://schemas.openxmlformats.org/officeDocument/2006/relationships/hyperlink" Target="https://risaleinur.online/english/_dictionary/A/ANA.php" TargetMode="External"/><Relationship Id="rIdL12" Type="http://schemas.openxmlformats.org/officeDocument/2006/relationships/hyperlink" Target="https://risaleinur.online/english/_dictionary/M/MARIFAT.php" TargetMode="External"/><Relationship Id="rIdL13" Type="http://schemas.openxmlformats.org/officeDocument/2006/relationships/hyperlink" Target="https://risaleinur.online/english/_rn_collection/THE_WORDS/the_6th_word.php" TargetMode="External"/><Relationship Id="rIdL14" Type="http://schemas.openxmlformats.org/officeDocument/2006/relationships/hyperlink" Target="https://risaleinur.online/english/_rn_collection/THE_WORDS/the_11th_word.php" TargetMode="External"/><Relationship Id="rIdL15" Type="http://schemas.openxmlformats.org/officeDocument/2006/relationships/hyperlink" Target="https://risaleinur.online/english/_rn_collection/THE_WORDS/30th%20Word/TheThirtiethWord-TheFirstAim-Discoverer.php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Risaleinuronline Panel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AMÂNAH</dc:title>
  <dc:creator>Risaleinuronline</dc:creator>
  <cp:lastModifiedBy>Risaleinuronline</cp:lastModifiedBy>
  <dcterms:created xsi:type="dcterms:W3CDTF">2026-09-08T21:03:54Z</dcterms:created>
  <dcterms:modified xsi:type="dcterms:W3CDTF">2026-09-08T21:03:54Z</dcterms:modified>
</cp:coreProperties>
</file>