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pPr>
      <w:r>
        <w:rPr>
          <w:b/>
        </w:rPr>
        <w:t xml:space="preserve">FISQ</w:t>
      </w:r>
    </w:p>
    <w:p>
      <w:pPr>
        <w:jc w:val="center"/>
      </w:pPr>
      <w:r>
        <w:rPr>
          <w:b/>
          <w:color w:val="800000"/>
        </w:rPr>
        <w:t xml:space="preserve">FISQ -</w:t>
      </w:r>
      <w:r>
        <w:rPr>
          <w:color w:val="800000"/>
        </w:rPr>
        <w:t xml:space="preserve"> </w:t>
      </w:r>
      <w:r>
        <w:rPr>
          <w:color w:val="800000"/>
        </w:rPr>
        <w:t xml:space="preserve">فسق</w:t>
      </w:r>
      <w:r>
        <w:rPr>
          <w:color w:val="800000"/>
        </w:rPr>
        <w:t xml:space="preserve">‎</w:t>
      </w:r>
    </w:p>
    <w:p>
      <w:pPr>
        <w:jc w:val="both"/>
      </w:pPr>
      <w:r>
        <w:rPr>
          <w:b/>
        </w:rPr>
        <w:t xml:space="preserve">Etymology and Literal Meaning</w:t>
      </w:r>
      <w:r>
        <w:rPr>
          <w:b/>
        </w:rPr>
        <w:t xml:space="preserve">: </w:t>
      </w:r>
    </w:p>
    <w:p>
      <w:pPr>
        <w:jc w:val="both"/>
      </w:pPr>
      <w:r>
        <w:t xml:space="preserve">Literally derived from the Arabic root f-s-q (</w:t>
      </w:r>
      <w:r>
        <w:rPr>
          <w:color w:val="FF0000"/>
        </w:rPr>
        <w:t xml:space="preserve">ف-س-ق</w:t>
      </w:r>
      <w:r>
        <w:t xml:space="preserve">), which means "to emerge, break out, or strip off." It classically describes a ripe date bursting out of its protective skin or a mouse leaving its burrow. Linguistically, it signifies the act of abandoning a protective boundary or deviating from the proper path. Its general meaning is immorality, wickedness, lewdness and debauchery.</w:t>
      </w:r>
    </w:p>
    <w:p>
      <w:pPr>
        <w:jc w:val="both"/>
      </w:pPr>
      <w:r>
        <w:rPr>
          <w:b/>
        </w:rPr>
        <w:t xml:space="preserve">As an Islamic term:</w:t>
      </w:r>
    </w:p>
    <w:p>
      <w:pPr>
        <w:jc w:val="both"/>
      </w:pPr>
      <w:r>
        <w:t xml:space="preserve">In Islamic terminology, it is the act of willful disobedience toward Allah by transgressing His commands and deviating from </w:t>
      </w:r>
      <w:hyperlink r:id="rIdL1">
        <w:r>
          <w:rPr>
            <w:color w:val="0563C1"/>
            <w:u w:val="single"/>
          </w:rPr>
          <w:t xml:space="preserve">as-sirât al-mustaqîm</w:t>
        </w:r>
      </w:hyperlink>
      <w:r>
        <w:t xml:space="preserve">. A person who commits fisq is called a fâsiq.</w:t>
      </w:r>
    </w:p>
    <w:p>
      <w:pPr>
        <w:jc w:val="both"/>
      </w:pPr>
      <w:r>
        <w:rPr>
          <w:b/>
        </w:rPr>
        <w:t xml:space="preserve">The Three Degrees of Fisq </w:t>
      </w:r>
      <w:r>
        <w:rPr>
          <w:b/>
        </w:rPr>
        <w:t xml:space="preserve">defined in the Sharî’ah:</w:t>
      </w:r>
    </w:p>
    <w:p>
      <w:pPr>
        <w:jc w:val="both"/>
      </w:pPr>
      <w:r>
        <w:rPr>
          <w:b/>
        </w:rPr>
        <w:t xml:space="preserve">1. Occasional Transgression:</w:t>
      </w:r>
      <w:r>
        <w:t xml:space="preserve"> Sinning occasionally due to human weakness, while fully recognising and feeling remorse for the ugliness of that sin.</w:t>
      </w:r>
    </w:p>
    <w:p>
      <w:pPr>
        <w:jc w:val="both"/>
      </w:pPr>
      <w:r>
        <w:rPr>
          <w:b/>
        </w:rPr>
        <w:t xml:space="preserve">2. Habitual Fondness:</w:t>
      </w:r>
      <w:r>
        <w:t xml:space="preserve"> Becoming fond of or persistent in sinning, where the habit of disobedience begins to dominate the individual's lifestyle.</w:t>
      </w:r>
    </w:p>
    <w:p>
      <w:pPr>
        <w:jc w:val="both"/>
      </w:pPr>
      <w:r>
        <w:rPr>
          <w:b/>
        </w:rPr>
        <w:t xml:space="preserve">3. </w:t>
      </w:r>
      <w:r>
        <w:rPr>
          <w:b/>
        </w:rPr>
        <w:t xml:space="preserve">Defiant Denial and Justification:</w:t>
      </w:r>
      <w:r>
        <w:t xml:space="preserve"> Committing sins while explicitly denying, rejecting, or making light of their haram status. This third degree is </w:t>
      </w:r>
      <w:hyperlink r:id="rIdL2">
        <w:r>
          <w:rPr>
            <w:color w:val="0563C1"/>
            <w:u w:val="single"/>
          </w:rPr>
          <w:t xml:space="preserve">kufr</w:t>
        </w:r>
      </w:hyperlink>
      <w:r>
        <w:t xml:space="preserve">, due to its essence of denial and rejection of the decisive decrees of Allah.</w:t>
      </w:r>
    </w:p>
    <w:p>
      <w:pPr>
        <w:jc w:val="both"/>
      </w:pPr>
      <w:r>
        <w:rPr>
          <w:b/>
        </w:rPr>
        <w:t xml:space="preserve">The Status of a Fâsiq in Ahl al-Sunnah</w:t>
      </w:r>
      <w:r>
        <w:rPr>
          <w:b/>
        </w:rPr>
        <w:t xml:space="preserve">:</w:t>
      </w:r>
    </w:p>
    <w:p>
      <w:pPr>
        <w:jc w:val="both"/>
      </w:pPr>
      <w:r>
        <w:t xml:space="preserve">According to </w:t>
      </w:r>
      <w:hyperlink r:id="rIdL3">
        <w:r>
          <w:rPr>
            <w:i/>
            <w:color w:val="0563C1"/>
            <w:u w:val="single"/>
          </w:rPr>
          <w:t xml:space="preserve">Ahl al-Sunnah wa'l-Jamâ'ah</w:t>
        </w:r>
      </w:hyperlink>
      <w:r>
        <w:t xml:space="preserve">, as long as a </w:t>
      </w:r>
      <w:r>
        <w:rPr>
          <w:i/>
        </w:rPr>
        <w:t xml:space="preserve">fâsiq</w:t>
      </w:r>
      <w:r>
        <w:t xml:space="preserve"> has not reached this third degree (denial and justification), he still retains the title of </w:t>
      </w:r>
      <w:r>
        <w:rPr>
          <w:i/>
        </w:rPr>
        <w:t xml:space="preserve">mu’min</w:t>
      </w:r>
      <w:r>
        <w:t xml:space="preserve">.</w:t>
      </w:r>
    </w:p>
    <w:p>
      <w:pPr>
        <w:jc w:val="both"/>
      </w:pPr>
      <w:r>
        <w:t xml:space="preserve">Consequently, the term </w:t>
      </w:r>
      <w:r>
        <w:rPr>
          <w:i/>
        </w:rPr>
        <w:t xml:space="preserve">fâsiq</w:t>
      </w:r>
      <w:r>
        <w:t xml:space="preserve"> functions as a broad category in Islamic terminology:</w:t>
      </w:r>
    </w:p>
    <w:p>
      <w:r>
        <w:t xml:space="preserve">• </w:t>
      </w:r>
      <w:r>
        <w:t xml:space="preserve">It encompasses those who have lost their </w:t>
      </w:r>
      <w:hyperlink r:id="rIdL4">
        <w:r>
          <w:rPr>
            <w:color w:val="0563C1"/>
            <w:u w:val="single"/>
          </w:rPr>
          <w:t xml:space="preserve">îmân</w:t>
        </w:r>
      </w:hyperlink>
      <w:r>
        <w:t xml:space="preserve"> and become </w:t>
      </w:r>
      <w:hyperlink r:id="rIdL5">
        <w:r>
          <w:rPr>
            <w:i/>
            <w:color w:val="0563C1"/>
            <w:u w:val="single"/>
          </w:rPr>
          <w:t xml:space="preserve">kâfir</w:t>
        </w:r>
      </w:hyperlink>
      <w:r>
        <w:t xml:space="preserve"> due to their arrogant denial of the laws of Allah.</w:t>
      </w:r>
    </w:p>
    <w:p>
      <w:r>
        <w:t xml:space="preserve">• </w:t>
      </w:r>
      <w:r>
        <w:t xml:space="preserve">It also encompasses those who have preserved their </w:t>
      </w:r>
      <w:r>
        <w:rPr>
          <w:i/>
        </w:rPr>
        <w:t xml:space="preserve">îmân</w:t>
      </w:r>
      <w:r>
        <w:t xml:space="preserve"> but have compromised their religious life due to their active sins.</w:t>
      </w:r>
    </w:p>
    <w:p>
      <w:pPr>
        <w:jc w:val="both"/>
      </w:pPr>
      <w:r>
        <w:rPr>
          <w:b/>
          <w:i/>
        </w:rPr>
        <w:t xml:space="preserve">Excerpts from the Risale-i Nur on the haqiqah of f</w:t>
      </w:r>
      <w:r>
        <w:rPr>
          <w:b/>
          <w:i/>
        </w:rPr>
        <w:t xml:space="preserve">i</w:t>
      </w:r>
      <w:r>
        <w:rPr>
          <w:b/>
          <w:i/>
        </w:rPr>
        <w:t xml:space="preserve">s</w:t>
      </w:r>
      <w:r>
        <w:rPr>
          <w:b/>
          <w:i/>
        </w:rPr>
        <w:t xml:space="preserve">q</w:t>
      </w:r>
      <w:r>
        <w:rPr>
          <w:b/>
          <w:i/>
        </w:rPr>
        <w:t xml:space="preserve">:</w:t>
      </w:r>
    </w:p>
    <w:p>
      <w:pPr>
        <w:jc w:val="both"/>
      </w:pPr>
      <w:r>
        <w:rPr>
          <w:color w:val="C00000"/>
        </w:rPr>
        <w:t xml:space="preserve">1. </w:t>
      </w:r>
      <w:r>
        <w:rPr>
          <w:color w:val="C00000"/>
        </w:rPr>
        <w:t xml:space="preserve">From the </w:t>
      </w:r>
      <w:r>
        <w:rPr>
          <w:color w:val="C00000"/>
        </w:rPr>
        <w:t xml:space="preserve">Tafsir of Âyahs 2:26–27, on the Nature and Essence of </w:t>
      </w:r>
      <w:r>
        <w:rPr>
          <w:i/>
          <w:color w:val="C00000"/>
        </w:rPr>
        <w:t xml:space="preserve">Fisq</w:t>
      </w:r>
      <w:r>
        <w:rPr>
          <w:color w:val="C00000"/>
        </w:rPr>
        <w:t xml:space="preserve">:</w:t>
      </w:r>
    </w:p>
    <w:p>
      <w:pPr>
        <w:jc w:val="both"/>
      </w:pPr>
      <w:r>
        <w:t xml:space="preserve">The word order of the phrase</w:t>
      </w:r>
    </w:p>
    <w:p>
      <w:pPr>
        <w:jc w:val="both"/>
      </w:pPr>
      <w:r>
        <w:t xml:space="preserve"> </w:t>
      </w:r>
      <w:r>
        <w:rPr>
          <w:color w:val="FF0000"/>
        </w:rPr>
        <w:t xml:space="preserve">وَمَا يُضِلُّ بِهِ اِلَّا الْفَاسِقِينَ</w:t>
      </w:r>
      <w:r>
        <w:rPr>
          <w:vertAlign w:val="superscript"/>
        </w:rPr>
        <w:t xml:space="preserve">[1]</w:t>
      </w:r>
      <w:r>
        <w:rPr>
          <w:color w:val="FF0000"/>
        </w:rPr>
        <w:t xml:space="preserve"> </w:t>
      </w:r>
    </w:p>
    <w:p>
      <w:pPr>
        <w:jc w:val="both"/>
      </w:pPr>
      <w:r>
        <w:t xml:space="preserve">is as follows:</w:t>
      </w:r>
    </w:p>
    <w:p>
      <w:pPr>
        <w:jc w:val="both"/>
      </w:pPr>
      <w:r>
        <w:t xml:space="preserve">Since the phrase </w:t>
      </w:r>
      <w:r>
        <w:rPr>
          <w:vertAlign w:val="superscript"/>
        </w:rPr>
        <w:t xml:space="preserve">[2]</w:t>
      </w:r>
      <w:r>
        <w:rPr>
          <w:color w:val="FF0000"/>
        </w:rPr>
        <w:t xml:space="preserve">يضل به كثيرًا</w:t>
      </w:r>
      <w:r>
        <w:t xml:space="preserve"> was left ambiguous,</w:t>
      </w:r>
      <w:r>
        <w:rPr>
          <w:vertAlign w:val="superscript"/>
        </w:rPr>
        <w:t xml:space="preserve">[3]</w:t>
      </w:r>
      <w:r>
        <w:rPr>
          <w:color w:val="FF0000"/>
        </w:rPr>
        <w:t xml:space="preserve"> </w:t>
      </w:r>
      <w:r>
        <w:t xml:space="preserve">the listener's mind immediately paid attention and was filled with apprehension. Seeking clarity, the listener asked: </w:t>
      </w:r>
    </w:p>
    <w:p>
      <w:pPr>
        <w:jc w:val="both"/>
      </w:pPr>
      <w:r>
        <w:t xml:space="preserve">"Who are these people that go astray? What is the cause of their dhalâlah? And how can darkness emerge from the nûr of the Qur'an?" </w:t>
      </w:r>
    </w:p>
    <w:p>
      <w:pPr>
        <w:jc w:val="both"/>
      </w:pPr>
      <w:r>
        <w:t xml:space="preserve">The Qur'an answered: </w:t>
      </w:r>
    </w:p>
    <w:p>
      <w:pPr>
        <w:jc w:val="both"/>
      </w:pPr>
      <w:r>
        <w:t xml:space="preserve">"Because they are fâsiqs; falling into dhalâlah is the punishment for their fisq. And because of fisq, nûr transforms into the fire for the fâsiq, and light transforms into darkness." Do you not see that sunlight rots and putrefies filthy substances?</w:t>
      </w:r>
    </w:p>
    <w:p>
      <w:pPr>
        <w:jc w:val="both"/>
      </w:pPr>
      <w:r>
        <w:t xml:space="preserve">As for the reason for describing the fâsiq with these specific attributes in the phrase</w:t>
      </w:r>
    </w:p>
    <w:p>
      <w:pPr>
        <w:jc w:val="center"/>
      </w:pPr>
      <w:r>
        <w:rPr>
          <w:color w:val="FF0000"/>
        </w:rPr>
        <w:t xml:space="preserve">اَلَّذِينَ يَنْقُضُونَ عَهْدَ اللّٰهِ مِنْ بَعْدِ مِيثَاقِهِ وَ يَقْطَعُونَ مَا اَمَرَ اللّٰهُ بِهِ اَنْ يُوصَلَ وَ يُفْسِدُونَ فِي الْاَرْضِ</w:t>
      </w:r>
      <w:r>
        <w:rPr>
          <w:vertAlign w:val="superscript"/>
        </w:rPr>
        <w:t xml:space="preserve">[4]</w:t>
      </w:r>
    </w:p>
    <w:p>
      <w:pPr>
        <w:jc w:val="both"/>
      </w:pPr>
      <w:r>
        <w:t xml:space="preserve">it is because this description serves as a detailed exposition and disclosure of what fisq truly is.</w:t>
      </w:r>
    </w:p>
    <w:p>
      <w:pPr>
        <w:jc w:val="both"/>
      </w:pPr>
      <w:r>
        <w:t xml:space="preserve">Indeed, fisq is a deviation from the haqq, a transgression of the limits and a rupture from the fortified, protective shell. Furthermore, fisq occurs through ifrât or tafrît in the three powers (quwwa): </w:t>
      </w:r>
    </w:p>
    <w:p>
      <w:pPr>
        <w:jc w:val="both"/>
      </w:pPr>
      <w:r>
        <w:t xml:space="preserve">1. Quwwa al-aqliyyah</w:t>
      </w:r>
      <w:r>
        <w:rPr>
          <w:vertAlign w:val="superscript"/>
        </w:rPr>
        <w:t xml:space="preserve">[5]</w:t>
      </w:r>
    </w:p>
    <w:p>
      <w:pPr>
        <w:jc w:val="both"/>
      </w:pPr>
      <w:r>
        <w:t xml:space="preserve">2. Quwwa al-ghadhabiyyah</w:t>
      </w:r>
      <w:r>
        <w:rPr>
          <w:vertAlign w:val="superscript"/>
        </w:rPr>
        <w:t xml:space="preserve">[6]</w:t>
      </w:r>
      <w:r>
        <w:t xml:space="preserve"> </w:t>
      </w:r>
    </w:p>
    <w:p>
      <w:pPr>
        <w:jc w:val="both"/>
      </w:pPr>
      <w:r>
        <w:t xml:space="preserve">3. Quwwa ash-shahawiyyah</w:t>
      </w:r>
      <w:r>
        <w:rPr>
          <w:vertAlign w:val="superscript"/>
        </w:rPr>
        <w:t xml:space="preserve">[7]</w:t>
      </w:r>
      <w:r>
        <w:t xml:space="preserve">. </w:t>
      </w:r>
    </w:p>
    <w:p>
      <w:pPr>
        <w:jc w:val="both"/>
      </w:pPr>
      <w:r>
        <w:t xml:space="preserve">And indeed, ifrât and tafrît within these powers are two causes for rebellion against the evidences, which constitute the covenants (al-'uhûd) of Allah within the fitrah.</w:t>
      </w:r>
      <w:r>
        <w:rPr>
          <w:vertAlign w:val="superscript"/>
        </w:rPr>
        <w:t xml:space="preserve">[8]</w:t>
      </w:r>
      <w:r>
        <w:t xml:space="preserve"> Ifrât and tafrît are also two causes of sickness in personal life, which this âyah indicates through the first attribute of fisq. They also act as two catalysts for rebellion against social life, severing social bonds and laws, which this âyah indicates through the second attribute of fisq. And they are two causes of corruption and revolution that result in the disruption of the order of the earth, which this ayah indicates through the third attribute.</w:t>
      </w:r>
    </w:p>
    <w:p>
      <w:pPr>
        <w:jc w:val="both"/>
      </w:pPr>
      <w:r>
        <w:t xml:space="preserve">Yes, by allowing the quwwa al-aqliyyah to transgress the limits of istiqâmah, the fâsiq breaks the bonds of aqâid and ruptures the fortified shell, that is, his eternal life. By allowing the quwwa al-ghadhabiyyah to transgress its limits, he tears apart the protective shell of social life. And by allowing the quwwa ash-shahawiyyah, the power of animal appetites, to transgress its limits and by following the desires of the nafs (hawâ), he eradicates from his heart all compassion for his fellow human beings. Consequently, he falls into corruption, entangles others in the very ruin he has brought upon himself, and ultimately becomes a cause of harm to mankind and the corruption of the order of the earth.</w:t>
      </w:r>
    </w:p>
    <w:p>
      <w:pPr>
        <w:jc w:val="both"/>
      </w:pPr>
      <w:r>
        <w:t xml:space="preserve">The word order of the phrase </w:t>
      </w:r>
    </w:p>
    <w:p>
      <w:pPr>
        <w:jc w:val="center"/>
      </w:pPr>
      <w:r>
        <w:rPr>
          <w:color w:val="FF0000"/>
        </w:rPr>
        <w:t xml:space="preserve">اُولئِكَ هُمُ الْخَاسِرُونَ</w:t>
      </w:r>
      <w:r>
        <w:rPr>
          <w:vertAlign w:val="superscript"/>
        </w:rPr>
        <w:t xml:space="preserve">[9]</w:t>
      </w:r>
    </w:p>
    <w:p>
      <w:pPr>
        <w:jc w:val="both"/>
      </w:pPr>
      <w:r>
        <w:t xml:space="preserve">is as follows:</w:t>
      </w:r>
    </w:p>
    <w:p>
      <w:pPr>
        <w:jc w:val="both"/>
      </w:pPr>
      <w:r>
        <w:t xml:space="preserve">Having recounted the grave crimes of the fâsiq to awaken a sense of dread, the Qur’an reinforces this warning with their ultimate consequence and punishment, thereby maximising the impact of the intimidation. </w:t>
      </w:r>
    </w:p>
    <w:p>
      <w:pPr>
        <w:jc w:val="both"/>
      </w:pPr>
      <w:r>
        <w:t xml:space="preserve">Thus, it declares:</w:t>
      </w:r>
    </w:p>
    <w:p>
      <w:pPr>
        <w:jc w:val="both"/>
      </w:pPr>
      <w:r>
        <w:t xml:space="preserve">“They are the ones who have indeed lost by trading the âkhirah for this world and exchanging guidance (hudâ) for the desires of their nafs (hawâ).” </w:t>
      </w:r>
    </w:p>
    <w:p>
      <w:pPr>
        <w:jc w:val="both"/>
      </w:pPr>
      <w:r>
        <w:t xml:space="preserve">…</w:t>
      </w:r>
    </w:p>
    <w:p>
      <w:pPr>
        <w:jc w:val="both"/>
      </w:pPr>
      <w:r>
        <w:t xml:space="preserve">As for the form of the phrase </w:t>
      </w:r>
      <w:r>
        <w:rPr>
          <w:color w:val="FF0000"/>
        </w:rPr>
        <w:t xml:space="preserve">يُضِلُّ بِهِ كَثِيرًا وَ يَهْدِي بِهِ كَثِيرًا</w:t>
      </w:r>
      <w:r>
        <w:rPr>
          <w:vertAlign w:val="superscript"/>
        </w:rPr>
        <w:t xml:space="preserve">[10]</w:t>
      </w:r>
      <w:r>
        <w:t xml:space="preserve">:</w:t>
      </w:r>
    </w:p>
    <w:p>
      <w:pPr>
        <w:jc w:val="both"/>
      </w:pPr>
      <w:r>
        <w:t xml:space="preserve">Know that the essence of the sentence's arrangement requires the second part of the phrase to be placed first.</w:t>
      </w:r>
      <w:r>
        <w:rPr>
          <w:vertAlign w:val="superscript"/>
        </w:rPr>
        <w:t xml:space="preserve">[11]</w:t>
      </w:r>
      <w:r>
        <w:t xml:space="preserve"> However, since the primary objective is to refute the objections of those who are hesitant, questioning, objecting and finding the parables repugnant, starting the sentence with</w:t>
      </w:r>
    </w:p>
    <w:p>
      <w:pPr>
        <w:jc w:val="center"/>
      </w:pPr>
      <w:r>
        <w:rPr>
          <w:color w:val="FF0000"/>
        </w:rPr>
        <w:t xml:space="preserve">يُضِلُّ</w:t>
      </w:r>
      <w:r>
        <w:rPr>
          <w:vertAlign w:val="superscript"/>
        </w:rPr>
        <w:t xml:space="preserve">[12]</w:t>
      </w:r>
    </w:p>
    <w:p>
      <w:pPr>
        <w:jc w:val="both"/>
      </w:pPr>
      <w:r>
        <w:t xml:space="preserve">carries greater importance.</w:t>
      </w:r>
    </w:p>
    <w:p>
      <w:pPr>
        <w:jc w:val="both"/>
      </w:pPr>
      <w:r>
        <w:t xml:space="preserve">As for departing from the nominal forms </w:t>
      </w:r>
      <w:r>
        <w:rPr>
          <w:color w:val="FF0000"/>
        </w:rPr>
        <w:t xml:space="preserve">الضَّلَالَة</w:t>
      </w:r>
      <w:r>
        <w:t xml:space="preserve"> (</w:t>
      </w:r>
      <w:r>
        <w:rPr>
          <w:i/>
        </w:rPr>
        <w:t xml:space="preserve">dhalâlah</w:t>
      </w:r>
      <w:r>
        <w:t xml:space="preserve">) and </w:t>
      </w:r>
      <w:r>
        <w:rPr>
          <w:color w:val="FF0000"/>
        </w:rPr>
        <w:t xml:space="preserve">الْهِدَايَة</w:t>
      </w:r>
      <w:r>
        <w:t xml:space="preserve"> (</w:t>
      </w:r>
      <w:r>
        <w:rPr>
          <w:i/>
        </w:rPr>
        <w:t xml:space="preserve">hidâyah</w:t>
      </w:r>
      <w:r>
        <w:t xml:space="preserve">), which would have been the appropriate, direct answers to the question</w:t>
      </w:r>
    </w:p>
    <w:p>
      <w:pPr>
        <w:jc w:val="center"/>
      </w:pPr>
      <w:r>
        <w:rPr>
          <w:color w:val="FF0000"/>
        </w:rPr>
        <w:t xml:space="preserve">فَيَقُولُونَ مَاذَا اَرَادَ اللّٰهُ بِهٰذَا مَثَلًا</w:t>
      </w:r>
      <w:r>
        <w:rPr>
          <w:vertAlign w:val="superscript"/>
        </w:rPr>
        <w:t xml:space="preserve">[13]</w:t>
      </w:r>
    </w:p>
    <w:p>
      <w:pPr>
        <w:jc w:val="both"/>
      </w:pPr>
      <w:r>
        <w:t xml:space="preserve">and turning instead to the verbal form of </w:t>
      </w:r>
      <w:r>
        <w:rPr>
          <w:i/>
        </w:rPr>
        <w:t xml:space="preserve">mudhâri‘</w:t>
      </w:r>
      <w:r>
        <w:t xml:space="preserve"> (the present/future tense), it is an indication that the darkness of their kufr intensifies, layer upon layer, in proportion to the continuous and gradual revelation of the Qur’an; just as the mu’min’s îmân increases in </w:t>
      </w:r>
    </w:p>
    <w:p>
      <w:pPr>
        <w:jc w:val="center"/>
      </w:pPr>
      <w:r>
        <w:rPr>
          <w:color w:val="FF0000"/>
        </w:rPr>
        <w:t xml:space="preserve">نُورٌ عَلٰى نُورٍ</w:t>
      </w:r>
      <w:r>
        <w:rPr>
          <w:vertAlign w:val="superscript"/>
        </w:rPr>
        <w:t xml:space="preserve">[14]</w:t>
      </w:r>
    </w:p>
    <w:p>
      <w:pPr>
        <w:jc w:val="both"/>
      </w:pPr>
      <w:r>
        <w:t xml:space="preserve">with every degree of revelation.</w:t>
      </w:r>
    </w:p>
    <w:p>
      <w:pPr>
        <w:jc w:val="both"/>
      </w:pPr>
      <w:r>
        <w:t xml:space="preserve">Furthermore, using the verbal form </w:t>
      </w:r>
      <w:r>
        <w:rPr>
          <w:color w:val="FF0000"/>
        </w:rPr>
        <w:t xml:space="preserve">يُضِلُّ</w:t>
      </w:r>
      <w:r>
        <w:t xml:space="preserve"> — given that it serves as an answer — contains a subtle allusion that describes the state of both groups, mu’mins and kâfirs, and explains the underlying cause of their conditions.</w:t>
      </w:r>
    </w:p>
    <w:p>
      <w:pPr>
        <w:jc w:val="both"/>
      </w:pPr>
      <w:r>
        <w:t xml:space="preserve">As for </w:t>
      </w:r>
      <w:r>
        <w:rPr>
          <w:vertAlign w:val="superscript"/>
        </w:rPr>
        <w:t xml:space="preserve">[15]</w:t>
      </w:r>
      <w:r>
        <w:rPr>
          <w:color w:val="FF0000"/>
        </w:rPr>
        <w:t xml:space="preserve">كَثِيرًا</w:t>
      </w:r>
      <w:r>
        <w:t xml:space="preserve">:</w:t>
      </w:r>
    </w:p>
    <w:p>
      <w:pPr>
        <w:jc w:val="both"/>
      </w:pPr>
      <w:r>
        <w:t xml:space="preserve">The first </w:t>
      </w:r>
      <w:r>
        <w:rPr>
          <w:color w:val="FF0000"/>
        </w:rPr>
        <w:t xml:space="preserve">كَثِيرًا</w:t>
      </w:r>
      <w:r>
        <w:t xml:space="preserve"> expresses quantity and number, while the second </w:t>
      </w:r>
      <w:r>
        <w:rPr>
          <w:color w:val="FF0000"/>
        </w:rPr>
        <w:t xml:space="preserve">كَثِيرًا</w:t>
      </w:r>
      <w:r>
        <w:t xml:space="preserve"> expresses quality and value. Yes, generous and noble people are numerous due to their high worth, even if they are few in number.</w:t>
      </w:r>
    </w:p>
    <w:p>
      <w:pPr>
        <w:jc w:val="both"/>
      </w:pPr>
      <w:r>
        <w:t xml:space="preserve">The use of the word </w:t>
      </w:r>
      <w:r>
        <w:rPr>
          <w:color w:val="FF0000"/>
        </w:rPr>
        <w:t xml:space="preserve">كَثِيرًا</w:t>
      </w:r>
      <w:r>
        <w:t xml:space="preserve"> in the second instance is also a subtle allusion to the mystery of how the Qur'an is a rahmah to all of mankind. </w:t>
      </w:r>
      <w:r>
        <w:rPr>
          <w:vertAlign w:val="superscript"/>
        </w:rPr>
        <w:t xml:space="preserve">[16]</w:t>
      </w:r>
      <w:r>
        <w:t xml:space="preserve"> Consider this!</w:t>
      </w:r>
    </w:p>
    <w:p>
      <w:pPr>
        <w:jc w:val="both"/>
      </w:pPr>
      <w:r>
        <w:t xml:space="preserve">As for the phrase </w:t>
      </w:r>
      <w:r>
        <w:rPr>
          <w:color w:val="FF0000"/>
        </w:rPr>
        <w:t xml:space="preserve">وَمَا يُضِلُّ بِهِ اِلَّا الْفَاسِقِينَ</w:t>
      </w:r>
      <w:r>
        <w:t xml:space="preserve">: </w:t>
      </w:r>
    </w:p>
    <w:p>
      <w:pPr>
        <w:jc w:val="both"/>
      </w:pPr>
      <w:r>
        <w:t xml:space="preserve">Know that having mentioned </w:t>
      </w:r>
      <w:r>
        <w:rPr>
          <w:color w:val="FF0000"/>
        </w:rPr>
        <w:t xml:space="preserve">كَثِيرًا</w:t>
      </w:r>
      <w:r>
        <w:t xml:space="preserve"> in the first instance, the Qur’an dispels all waswasa, fear, hesitation and any accusation of deficiency in the Qur’an by clarifying exactly who those </w:t>
      </w:r>
      <w:r>
        <w:rPr>
          <w:vertAlign w:val="superscript"/>
        </w:rPr>
        <w:t xml:space="preserve">[17]</w:t>
      </w:r>
      <w:r>
        <w:rPr>
          <w:color w:val="FF0000"/>
        </w:rPr>
        <w:t xml:space="preserve">ضالين</w:t>
      </w:r>
      <w:r>
        <w:rPr>
          <w:color w:val="FF0000"/>
        </w:rPr>
        <w:t xml:space="preserve"> </w:t>
      </w:r>
      <w:r>
        <w:t xml:space="preserve">are.</w:t>
      </w:r>
    </w:p>
    <w:p>
      <w:pPr>
        <w:jc w:val="both"/>
      </w:pPr>
      <w:r>
        <w:t xml:space="preserve">It further explains that:</w:t>
      </w:r>
    </w:p>
    <w:p>
      <w:r>
        <w:t xml:space="preserve">• </w:t>
      </w:r>
      <w:r>
        <w:t xml:space="preserve">The source of their dhalâlah is their own fisq,</w:t>
      </w:r>
    </w:p>
    <w:p>
      <w:r>
        <w:t xml:space="preserve">• </w:t>
      </w:r>
      <w:r>
        <w:t xml:space="preserve">The cause of it is their own kasb,</w:t>
      </w:r>
    </w:p>
    <w:p>
      <w:r>
        <w:t xml:space="preserve">• </w:t>
      </w:r>
      <w:r>
        <w:t xml:space="preserve">The deficiency lies entirely with them, not with the Qur’an,</w:t>
      </w:r>
    </w:p>
    <w:p>
      <w:r>
        <w:t xml:space="preserve">• </w:t>
      </w:r>
      <w:r>
        <w:t xml:space="preserve">And the creation of dhalâlah by Allah is a just recompense for their own actions.</w:t>
      </w:r>
    </w:p>
    <w:p>
      <w:pPr>
        <w:jc w:val="both"/>
      </w:pPr>
      <w:r>
        <w:t xml:space="preserve">‌…</w:t>
      </w:r>
    </w:p>
    <w:p>
      <w:pPr>
        <w:jc w:val="both"/>
      </w:pPr>
      <w:r>
        <w:t xml:space="preserve">As for the form of the phrase</w:t>
      </w:r>
    </w:p>
    <w:p>
      <w:pPr>
        <w:jc w:val="center"/>
      </w:pPr>
      <w:r>
        <w:t xml:space="preserve"> </w:t>
      </w:r>
      <w:r>
        <w:rPr>
          <w:color w:val="FF0000"/>
        </w:rPr>
        <w:t xml:space="preserve">اَلَّذِينَ يَنْقُضُونَ عَهْدَ اللّٰهِ مِنْ بَعْدِ مِيثَاقِهِ وَ يَقْطَعُونَ مَا اَمَرَ اللّٰهُ بِهِ اَنْ يُوصَلَ وَ يُفْسِدُونَ فِي الْاَرْضِ</w:t>
      </w:r>
      <w:r>
        <w:rPr>
          <w:vertAlign w:val="superscript"/>
        </w:rPr>
        <w:t xml:space="preserve">[18]</w:t>
      </w:r>
    </w:p>
    <w:p>
      <w:pPr>
        <w:jc w:val="both"/>
      </w:pPr>
      <w:r>
        <w:t xml:space="preserve">Know that there is an elevated and subtle suitability in describing here the fâsiq — who harbour doubts about the Qur’an's miraculousness and word order — with these specific attributes.</w:t>
      </w:r>
    </w:p>
    <w:p>
      <w:pPr>
        <w:jc w:val="both"/>
      </w:pPr>
      <w:r>
        <w:t xml:space="preserve">It is as though the Qur'an is saying:</w:t>
      </w:r>
    </w:p>
    <w:p>
      <w:pPr>
        <w:jc w:val="both"/>
      </w:pPr>
      <w:r>
        <w:t xml:space="preserve"> "It's not at all surprising that the fâsiq should be hesitant and ignorant about the miraculousness of the Qur'an’s order, since they fail to see the miraculousness of Qoudrah in the order of the universe, which is the Greater Qur'an. Just as they view the order of the universe as merely coincidental and its fruitful transformations as futile, accidental occurrences; therefore, its underlying hikmahs are concealed from them due to the corruption of their rûh. So too, through their sick fitrah and corrupt whims, they perceive the miraculous order of the Qur’an as a disordered muddle, its premises as barren, and its fruits as bitter."</w:t>
      </w:r>
    </w:p>
    <w:p>
      <w:pPr>
        <w:jc w:val="both"/>
      </w:pPr>
      <w:r>
        <w:t xml:space="preserve">As for the phrase </w:t>
      </w:r>
      <w:r>
        <w:rPr>
          <w:color w:val="FF0000"/>
        </w:rPr>
        <w:t xml:space="preserve">يَنْقُضُونَ عَهْدَ اللّٰهِ</w:t>
      </w:r>
      <w:r>
        <w:t xml:space="preserve">: </w:t>
      </w:r>
    </w:p>
    <w:p>
      <w:pPr>
        <w:jc w:val="both"/>
      </w:pPr>
      <w:r>
        <w:t xml:space="preserve">Since </w:t>
      </w:r>
      <w:r>
        <w:rPr>
          <w:color w:val="FF0000"/>
        </w:rPr>
        <w:t xml:space="preserve">أن </w:t>
      </w:r>
      <w:r>
        <w:rPr>
          <w:color w:val="FF0000"/>
        </w:rPr>
        <w:t xml:space="preserve">النقض </w:t>
      </w:r>
      <w:r>
        <w:rPr>
          <w:color w:val="FF0000"/>
        </w:rPr>
        <w:t xml:space="preserve"> </w:t>
      </w:r>
      <w:r>
        <w:t xml:space="preserve">literally means untying and tearing apart the strands of a rope, its use here points to an elevated style.</w:t>
      </w:r>
    </w:p>
    <w:p>
      <w:pPr>
        <w:jc w:val="both"/>
      </w:pPr>
      <w:r>
        <w:t xml:space="preserve">It is as though the covenant with Taâ’lâ is a luminous rope twisted with hikmah, ‘inâyah and will, extending from azal to eternity. It manifests in the universe in the form of a universal order. This great chain has sent down its individual chains to all the species, and its most wondrous extremity</w:t>
      </w:r>
      <w:r>
        <w:rPr>
          <w:vertAlign w:val="superscript"/>
        </w:rPr>
        <w:t xml:space="preserve">[19]</w:t>
      </w:r>
      <w:r>
        <w:t xml:space="preserve"> has been extended to mankind. Within the rûh of man, it has bequeathed the seeds of potentialities and abilities, yielding fruits from them. These seeds of potentiality are watered and brought to bloom through juz’ al-ikhtiyârî, which is rectified and balanced by the legislative command, that is, the textual evidences (al-dalâil al-naqliyyah</w:t>
      </w:r>
      <w:r>
        <w:rPr>
          <w:vertAlign w:val="superscript"/>
        </w:rPr>
        <w:t xml:space="preserve">[20]</w:t>
      </w:r>
      <w:r>
        <w:t xml:space="preserve">).</w:t>
      </w:r>
    </w:p>
    <w:p>
      <w:pPr>
        <w:jc w:val="both"/>
      </w:pPr>
      <w:r>
        <w:t xml:space="preserve">Thus, the covenant is fulfilled by employing these potentialities and dispositions for the very purposes they were created for. Conversely, breaking the covenant is to do the exact opposite, which is to unravel and separate the strands of that rope.</w:t>
      </w:r>
      <w:r>
        <w:rPr>
          <w:vertAlign w:val="superscript"/>
        </w:rPr>
        <w:t xml:space="preserve">[21]</w:t>
      </w:r>
      <w:r>
        <w:t xml:space="preserve"> Examples of this include believing in some prophets while denying others, accepting some religious decrees (ahkâm) while rejecting others, or approving of some âyahs while disapproving of others.</w:t>
      </w:r>
      <w:r>
        <w:rPr>
          <w:vertAlign w:val="superscript"/>
        </w:rPr>
        <w:t xml:space="preserve">[22]</w:t>
      </w:r>
      <w:r>
        <w:t xml:space="preserve"> For indeed, this disrupts the order, the harmony and the overall regularity.</w:t>
      </w:r>
    </w:p>
    <w:p>
      <w:pPr>
        <w:jc w:val="both"/>
      </w:pPr>
      <w:r>
        <w:t xml:space="preserve">As for the phrase </w:t>
      </w:r>
      <w:r>
        <w:rPr>
          <w:vertAlign w:val="superscript"/>
        </w:rPr>
        <w:t xml:space="preserve">[23]</w:t>
      </w:r>
      <w:r>
        <w:rPr>
          <w:color w:val="FF0000"/>
        </w:rPr>
        <w:t xml:space="preserve">وَ يَقْطَعُونَ مَا اَمَرَ اللّٰهُ بِهِ اَنْ يُوصَلَ</w:t>
      </w:r>
      <w:r>
        <w:t xml:space="preserve">: </w:t>
      </w:r>
    </w:p>
    <w:p>
      <w:pPr>
        <w:jc w:val="both"/>
      </w:pPr>
      <w:r>
        <w:t xml:space="preserve">Know that </w:t>
      </w:r>
      <w:r>
        <w:rPr>
          <w:vertAlign w:val="superscript"/>
        </w:rPr>
        <w:t xml:space="preserve">[24]</w:t>
      </w:r>
      <w:r>
        <w:rPr>
          <w:color w:val="FF0000"/>
        </w:rPr>
        <w:t xml:space="preserve">مَا اَمَرَ اللّٰهُ</w:t>
      </w:r>
      <w:r>
        <w:t xml:space="preserve"> encompasses both the commands of Sharî’ah and the takwînî commands, both of which are embedded within 'Âdâtullah and the laws of fitrah</w:t>
      </w:r>
      <w:r>
        <w:rPr>
          <w:vertAlign w:val="superscript"/>
        </w:rPr>
        <w:t xml:space="preserve">[25]</w:t>
      </w:r>
      <w:r>
        <w:t xml:space="preserve">. Thus, severing what has been commanded to be maintained in terms of the Sharî‘ah means actions such as severing sila ar-rahm</w:t>
      </w:r>
      <w:r>
        <w:rPr>
          <w:vertAlign w:val="superscript"/>
        </w:rPr>
        <w:t xml:space="preserve">[26]</w:t>
      </w:r>
      <w:r>
        <w:t xml:space="preserve"> and disconnecting the hearts of believers from one another; and you may make further analogies along these lines.</w:t>
      </w:r>
    </w:p>
    <w:p>
      <w:pPr>
        <w:jc w:val="both"/>
      </w:pPr>
      <w:r>
        <w:t xml:space="preserve">And in terms of the takwînî Sharî’ah, it means: </w:t>
      </w:r>
    </w:p>
    <w:p>
      <w:r>
        <w:t xml:space="preserve">• </w:t>
      </w:r>
      <w:r>
        <w:t xml:space="preserve">Severing action (‘amal) from ‘ilm, </w:t>
      </w:r>
    </w:p>
    <w:p>
      <w:r>
        <w:t xml:space="preserve">• </w:t>
      </w:r>
      <w:r>
        <w:t xml:space="preserve">Severing ‘ilm from intelligence, </w:t>
      </w:r>
    </w:p>
    <w:p>
      <w:r>
        <w:t xml:space="preserve">• </w:t>
      </w:r>
      <w:r>
        <w:t xml:space="preserve">Severing intelligence from dispositions, </w:t>
      </w:r>
    </w:p>
    <w:p>
      <w:r>
        <w:t xml:space="preserve">• </w:t>
      </w:r>
      <w:r>
        <w:t xml:space="preserve">Severing ma’rifatullah from the mind (</w:t>
      </w:r>
      <w:r>
        <w:rPr>
          <w:i/>
        </w:rPr>
        <w:t xml:space="preserve">‘aql</w:t>
      </w:r>
      <w:r>
        <w:t xml:space="preserve">), </w:t>
      </w:r>
    </w:p>
    <w:p>
      <w:r>
        <w:t xml:space="preserve">• </w:t>
      </w:r>
      <w:r>
        <w:t xml:space="preserve">Severing labour from strength, </w:t>
      </w:r>
    </w:p>
    <w:p>
      <w:r>
        <w:t xml:space="preserve">• </w:t>
      </w:r>
      <w:r>
        <w:t xml:space="preserve">And severing jihad from courage, and so forth...</w:t>
      </w:r>
    </w:p>
    <w:p>
      <w:pPr>
        <w:jc w:val="both"/>
      </w:pPr>
      <w:r>
        <w:t xml:space="preserve">For indeed, the granting of strength is a ma’nawî takwînî command to strive and work, and the granting of intelligence is a ma’nawî takwînî command to acquire ‘ilm, and so on.</w:t>
      </w:r>
    </w:p>
    <w:p>
      <w:pPr>
        <w:jc w:val="both"/>
      </w:pPr>
      <w:r>
        <w:t xml:space="preserve">As for the phrase </w:t>
      </w:r>
      <w:r>
        <w:rPr>
          <w:vertAlign w:val="superscript"/>
        </w:rPr>
        <w:t xml:space="preserve">[27]</w:t>
      </w:r>
      <w:r>
        <w:rPr>
          <w:color w:val="FF0000"/>
        </w:rPr>
        <w:t xml:space="preserve">وَ يُفْسِدُونَ فِي الْاَرْضِ</w:t>
      </w:r>
      <w:r>
        <w:t xml:space="preserve">:</w:t>
      </w:r>
    </w:p>
    <w:p>
      <w:pPr>
        <w:jc w:val="both"/>
      </w:pPr>
      <w:r>
        <w:t xml:space="preserve">Know that whoever becomes corrupt and embroiled in the mire [of sin] seeks to have companions who are similarly embroiled, in order to alleviate the terror of his own state through the mystery: "When a calamity becomes widespread, it becomes bearable."</w:t>
      </w:r>
    </w:p>
    <w:p>
      <w:pPr>
        <w:jc w:val="both"/>
      </w:pPr>
      <w:r>
        <w:t xml:space="preserve">Likewise, if a subversive corruption falls into someone’s heart, the perfections within his heart are ruined, and his elevated feelings decline. Consequently, an inclination toward destruction is born within him; he begins to derive a certain pleasure from destruction, and thus actively seeks his gratification in corruption and disorder.</w:t>
      </w:r>
    </w:p>
    <w:p>
      <w:pPr>
        <w:jc w:val="both"/>
      </w:pPr>
      <w:r>
        <w:rPr>
          <w:b/>
        </w:rPr>
        <w:t xml:space="preserve">If you </w:t>
      </w:r>
      <w:r>
        <w:rPr>
          <w:b/>
        </w:rPr>
        <w:t xml:space="preserve">ask</w:t>
      </w:r>
      <w:r>
        <w:rPr>
          <w:b/>
        </w:rPr>
        <w:t xml:space="preserve">:</w:t>
      </w:r>
      <w:r>
        <w:t xml:space="preserve"> "How can the corruption perpetrated by a single fâsiq affect the entire earth, as indicated by the comprehensive phrase </w:t>
      </w:r>
      <w:r>
        <w:rPr>
          <w:color w:val="FF0000"/>
        </w:rPr>
        <w:t xml:space="preserve">فِي الْاَرْضِ</w:t>
      </w:r>
      <w:r>
        <w:t xml:space="preserve">?"</w:t>
      </w:r>
    </w:p>
    <w:p>
      <w:pPr>
        <w:jc w:val="both"/>
      </w:pPr>
      <w:r>
        <w:rPr>
          <w:b/>
        </w:rPr>
        <w:t xml:space="preserve">You are told in response:</w:t>
      </w:r>
      <w:r>
        <w:t xml:space="preserve"> Wherever there is an established order, there is a precise balance; indeed, order itself is built entirely upon balance. Even the intrusion of a tiny, insignificant object between the cogs of a massive machine will affect its operation, even if it goes unnoticed. Similarly, a colossal scale holding a mountain on each of its pans will be affected by placing a single walnut upon one of them.</w:t>
      </w:r>
    </w:p>
    <w:p>
      <w:pPr>
        <w:jc w:val="right"/>
      </w:pPr>
      <w:r>
        <w:t xml:space="preserve">Signs of Miraculousness 413-421-424-425</w:t>
      </w:r>
    </w:p>
    <w:p>
      <w:pPr>
        <w:jc w:val="both"/>
      </w:pPr>
      <w:r>
        <w:rPr>
          <w:i/>
        </w:rPr>
        <w:t xml:space="preserve">(For further explanation, please refer to the compilation</w:t>
      </w:r>
      <w:r>
        <w:rPr>
          <w:i/>
        </w:rPr>
        <w:t xml:space="preserve"> on</w:t>
      </w:r>
      <w:r>
        <w:rPr>
          <w:i/>
        </w:rPr>
        <w:t xml:space="preserve"> </w:t>
      </w:r>
      <w:r>
        <w:rPr>
          <w:i/>
        </w:rPr>
        <w:t xml:space="preserve">As-sirât Al-mustaqîm)</w:t>
      </w:r>
    </w:p>
    <w:p>
      <w:pPr>
        <w:jc w:val="both"/>
      </w:pPr>
      <w:r>
        <w:rPr>
          <w:color w:val="C00000"/>
        </w:rPr>
        <w:t xml:space="preserve">2.</w:t>
      </w:r>
      <w:r>
        <w:rPr>
          <w:b/>
        </w:rPr>
        <w:t xml:space="preserve"> </w:t>
      </w:r>
      <w:r>
        <w:rPr>
          <w:color w:val="C00000"/>
        </w:rPr>
        <w:t xml:space="preserve">O</w:t>
      </w:r>
      <w:r>
        <w:rPr>
          <w:color w:val="C00000"/>
        </w:rPr>
        <w:t xml:space="preserve">n fâsiq al-mutajâhir:</w:t>
      </w:r>
    </w:p>
    <w:p>
      <w:pPr>
        <w:jc w:val="both"/>
      </w:pPr>
      <w:r>
        <w:rPr>
          <w:b/>
        </w:rPr>
        <w:t xml:space="preserve">Ghiybah can be permissible (jâiz) in a few </w:t>
      </w:r>
      <w:r>
        <w:rPr>
          <w:b/>
        </w:rPr>
        <w:t xml:space="preserve">specific </w:t>
      </w:r>
      <w:r>
        <w:rPr>
          <w:b/>
        </w:rPr>
        <w:t xml:space="preserve">cases:</w:t>
      </w:r>
    </w:p>
    <w:p>
      <w:pPr>
        <w:jc w:val="both"/>
      </w:pPr>
      <w:r>
        <w:rPr>
          <w:b/>
        </w:rPr>
        <w:t xml:space="preserve">…</w:t>
      </w:r>
    </w:p>
    <w:p>
      <w:pPr>
        <w:jc w:val="both"/>
      </w:pPr>
      <w:r>
        <w:rPr>
          <w:b/>
        </w:rPr>
        <w:t xml:space="preserve">Fourth:</w:t>
      </w:r>
      <w:r>
        <w:t xml:space="preserve"> The person being talked about is a fâsiq al-mutajâhir. That is, he feels no shame over his wrongdoing; rather, he takes pride in the sins he commits, derives pleasure from his dhulm and commits it openly without any embarrassment.</w:t>
      </w:r>
    </w:p>
    <w:p>
      <w:pPr>
        <w:jc w:val="right"/>
      </w:pPr>
      <w:r>
        <w:t xml:space="preserve"> The Twenty-Second Letter/Conclusion </w:t>
      </w:r>
    </w:p>
    <w:p/>
    <w:p>
      <w:r>
        <w:t xml:space="preserve">[1] </w:t>
      </w:r>
      <w:r>
        <w:t xml:space="preserve"> (And He thereby causes none to stray into </w:t>
      </w:r>
      <w:hyperlink r:id="rIdL6">
        <w:r>
          <w:rPr>
            <w:color w:val="0563C1"/>
            <w:u w:val="single"/>
          </w:rPr>
          <w:t xml:space="preserve">dhalâlah</w:t>
        </w:r>
      </w:hyperlink>
      <w:r>
        <w:t xml:space="preserve"> except those who are fâsiq.)</w:t>
      </w:r>
    </w:p>
    <w:p>
      <w:r>
        <w:t xml:space="preserve">[2] </w:t>
      </w:r>
      <w:r>
        <w:t xml:space="preserve"> (He thereby causes many to stray into dhalâlah…) </w:t>
      </w:r>
    </w:p>
    <w:p>
      <w:r>
        <w:t xml:space="preserve">[3] </w:t>
      </w:r>
      <w:r>
        <w:t xml:space="preserve"> (</w:t>
      </w:r>
      <w:r>
        <w:rPr>
          <w:i/>
        </w:rPr>
        <w:t xml:space="preserve">The following explanation is included in Abdulkadir Badilli’s translation of this sentence:</w:t>
      </w:r>
    </w:p>
    <w:p>
      <w:r>
        <w:t xml:space="preserve">[3] </w:t>
      </w:r>
      <w:r>
        <w:t xml:space="preserve">“That is, with the expression ‘He causes many to stray into dhalâlah,’ the Qur’an did not specify who, how, or for what reason they would go stray</w:t>
      </w:r>
      <w:r>
        <w:rPr>
          <w:b/>
          <w:i/>
        </w:rPr>
        <w:t xml:space="preserve"> </w:t>
      </w:r>
      <w:r>
        <w:t xml:space="preserve">into dhalâlah, thus leaving the matter ambiguous.”) </w:t>
      </w:r>
      <w:r>
        <w:rPr>
          <w:i/>
        </w:rPr>
        <w:t xml:space="preserve">(Tr.)</w:t>
      </w:r>
      <w:r>
        <w:t xml:space="preserve"> </w:t>
      </w:r>
    </w:p>
    <w:p>
      <w:r>
        <w:t xml:space="preserve">[4] </w:t>
      </w:r>
      <w:r>
        <w:t xml:space="preserve"> (Those who break the covenant of Allah after accepting it, who sever what Allah has commanded to be maintained, and who spread corruption on earth.) </w:t>
      </w:r>
    </w:p>
    <w:p>
      <w:r>
        <w:t xml:space="preserve">[5] </w:t>
      </w:r>
      <w:r>
        <w:t xml:space="preserve"> (The power of mind.)</w:t>
      </w:r>
      <w:r>
        <w:rPr>
          <w:i/>
        </w:rPr>
        <w:t xml:space="preserve"> (</w:t>
      </w:r>
      <w:r>
        <w:rPr>
          <w:i/>
        </w:rPr>
        <w:t xml:space="preserve">Tr.)</w:t>
      </w:r>
    </w:p>
    <w:p>
      <w:r>
        <w:t xml:space="preserve">[6] </w:t>
      </w:r>
      <w:r>
        <w:t xml:space="preserve"> (The predacious power of anger.)</w:t>
      </w:r>
      <w:r>
        <w:rPr>
          <w:i/>
        </w:rPr>
        <w:t xml:space="preserve"> (</w:t>
      </w:r>
      <w:r>
        <w:rPr>
          <w:i/>
        </w:rPr>
        <w:t xml:space="preserve">Tr.)</w:t>
      </w:r>
    </w:p>
    <w:p>
      <w:r>
        <w:t xml:space="preserve">[7] </w:t>
      </w:r>
      <w:r>
        <w:t xml:space="preserve"> (The power of animal appetites.)</w:t>
      </w:r>
      <w:r>
        <w:rPr>
          <w:i/>
        </w:rPr>
        <w:t xml:space="preserve"> (</w:t>
      </w:r>
      <w:r>
        <w:rPr>
          <w:i/>
        </w:rPr>
        <w:t xml:space="preserve">Tr.)</w:t>
      </w:r>
    </w:p>
    <w:p>
      <w:r>
        <w:t xml:space="preserve">[8] </w:t>
      </w:r>
      <w:r>
        <w:t xml:space="preserve"> The following explanatory note is taken from the tafsir of Elmalılı Hamdi Yazır, which explains the âyah</w:t>
      </w:r>
      <w:r>
        <w:rPr>
          <w:color w:val="FF0000"/>
        </w:rPr>
        <w:t xml:space="preserve">فَاَقِمْ وَجْهَكَ لِلدّ۪ينِ حَن۪يفًۜا فِطْرَتَ اللّٰهِ الَّت۪ى فَطَرَ النَّاسَ عَلَيْهَۜا لاَتَبْد۪يلَ لِخَلْقِ اللّٰهِۜ ذٰلِكَ الدّ۪ينُ الْقَيِّمُۗ وَلٰكِنَّ اَكْثَرَ النَّاسِ لاَيَعْلَمُونَۗ</w:t>
      </w:r>
      <w:r>
        <w:t xml:space="preserve"> (30:30). This âyah</w:t>
      </w:r>
      <w:r>
        <w:rPr>
          <w:color w:val="FF0000"/>
        </w:rPr>
        <w:t xml:space="preserve"> </w:t>
      </w:r>
      <w:r>
        <w:t xml:space="preserve">declares that Islam perfectly conforms to the creation of man’s </w:t>
      </w:r>
      <w:hyperlink r:id="rIdL7">
        <w:r>
          <w:rPr>
            <w:color w:val="0563C1"/>
            <w:u w:val="single"/>
          </w:rPr>
          <w:t xml:space="preserve">rûh</w:t>
        </w:r>
      </w:hyperlink>
      <w:r>
        <w:t xml:space="preserve"> and the Sharî’ah of </w:t>
      </w:r>
      <w:hyperlink r:id="rIdL8">
        <w:r>
          <w:rPr>
            <w:color w:val="0563C1"/>
            <w:u w:val="single"/>
          </w:rPr>
          <w:t xml:space="preserve">fitrah</w:t>
        </w:r>
      </w:hyperlink>
      <w:r>
        <w:t xml:space="preserve">, and that ideologies and theories originating from the human mind and the inclinations of the nafs can never align with as-sirât al-mustaqîm:</w:t>
      </w:r>
    </w:p>
    <w:p>
      <w:r>
        <w:t xml:space="preserve">[8] </w:t>
      </w:r>
      <w:r>
        <w:t xml:space="preserve">“</w:t>
      </w:r>
      <w:r>
        <w:rPr>
          <w:color w:val="FF0000"/>
        </w:rPr>
        <w:t xml:space="preserve">فِطْرَتَ اللّٰهِ</w:t>
      </w:r>
      <w:r>
        <w:t xml:space="preserve"> The fitrah of Allah refers to the true religion or hanîfiyyah (pure monotheism). That is, ‘Embrace the religion of Allah, which is the very fitrah — </w:t>
      </w:r>
      <w:r>
        <w:rPr>
          <w:color w:val="FF0000"/>
        </w:rPr>
        <w:t xml:space="preserve">الَّت۪ى فَطَرَ النَّاسَ عَلَيْهَۜا</w:t>
      </w:r>
      <w:r>
        <w:t xml:space="preserve"> — upon which He has created mankind!’ In the </w:t>
      </w:r>
      <w:hyperlink r:id="rIdL9">
        <w:r>
          <w:rPr>
            <w:color w:val="0563C1"/>
            <w:u w:val="single"/>
          </w:rPr>
          <w:t xml:space="preserve">azalî</w:t>
        </w:r>
      </w:hyperlink>
      <w:r>
        <w:t xml:space="preserve"> covenant of fitrah, all mankind responded with </w:t>
      </w:r>
      <w:r>
        <w:rPr>
          <w:color w:val="FF0000"/>
        </w:rPr>
        <w:t xml:space="preserve">بَلَىٰ</w:t>
      </w:r>
      <w:r>
        <w:rPr>
          <w:color w:val="FF0000"/>
        </w:rPr>
        <w:t xml:space="preserve"> </w:t>
      </w:r>
      <w:r>
        <w:t xml:space="preserve">(Yes) to the question </w:t>
      </w:r>
      <w:r>
        <w:rPr>
          <w:color w:val="FF0000"/>
        </w:rPr>
        <w:t xml:space="preserve">اَلَسْتُ بِرَبِّكُمْۜ</w:t>
      </w:r>
      <w:r>
        <w:t xml:space="preserve"> (Am I not your Rabb? 7:172). By accepting their creation as human beings, mankind pledged to witness the Rubûbiyyah of the Creator. At the very core of this fitrah, in the beginning of self-awareness and in the depths of the conscience (vijdân), a sense of </w:t>
      </w:r>
      <w:hyperlink r:id="rIdL10">
        <w:r>
          <w:rPr>
            <w:color w:val="0563C1"/>
            <w:u w:val="single"/>
          </w:rPr>
          <w:t xml:space="preserve">haqq</w:t>
        </w:r>
      </w:hyperlink>
      <w:r>
        <w:t xml:space="preserve"> and </w:t>
      </w:r>
      <w:hyperlink r:id="rIdL11">
        <w:r>
          <w:rPr>
            <w:color w:val="0563C1"/>
            <w:u w:val="single"/>
          </w:rPr>
          <w:t xml:space="preserve">ma’rifatullah</w:t>
        </w:r>
      </w:hyperlink>
      <w:r>
        <w:t xml:space="preserve"> are deeply hidden. It is for this reason that in moments of absolute helplessness and extreme distress, even the most stubborn kâfirs feel a profound urge to seek refuge in the Creator.” </w:t>
      </w:r>
    </w:p>
    <w:p>
      <w:r>
        <w:t xml:space="preserve">[8] </w:t>
      </w:r>
      <w:r>
        <w:t xml:space="preserve">Hak Dini Kur’an Dili Tefsiri: 3822</w:t>
      </w:r>
    </w:p>
    <w:p>
      <w:r>
        <w:t xml:space="preserve">[9] </w:t>
      </w:r>
      <w:r>
        <w:t xml:space="preserve"> (It is they who are in utter loss.)</w:t>
      </w:r>
    </w:p>
    <w:p>
      <w:r>
        <w:t xml:space="preserve">[10] </w:t>
      </w:r>
      <w:r>
        <w:t xml:space="preserve"> (He thereby causes many to stray into dhalâlah and He guides many into the right path.)</w:t>
      </w:r>
    </w:p>
    <w:p>
      <w:r>
        <w:t xml:space="preserve">[11] </w:t>
      </w:r>
      <w:r>
        <w:t xml:space="preserve"> (</w:t>
      </w:r>
      <w:r>
        <w:rPr>
          <w:i/>
        </w:rPr>
        <w:t xml:space="preserve">The following explanation is included in Abdulkadir Badilli’s translation of this sentence:</w:t>
      </w:r>
    </w:p>
    <w:p>
      <w:r>
        <w:t xml:space="preserve">[11] </w:t>
      </w:r>
      <w:r>
        <w:t xml:space="preserve">“That is, the second half of the sentence, </w:t>
      </w:r>
      <w:r>
        <w:rPr>
          <w:color w:val="FF0000"/>
        </w:rPr>
        <w:t xml:space="preserve">وَ يَهْدِي بِهِ كَثِيرًا</w:t>
      </w:r>
      <w:r>
        <w:t xml:space="preserve">, should have been placed at the beginning.”) </w:t>
      </w:r>
      <w:r>
        <w:rPr>
          <w:i/>
        </w:rPr>
        <w:t xml:space="preserve">(Tr.)</w:t>
      </w:r>
    </w:p>
    <w:p>
      <w:r>
        <w:t xml:space="preserve">[12] </w:t>
      </w:r>
      <w:r>
        <w:t xml:space="preserve"> (…to stray into dhalâlah…)</w:t>
      </w:r>
    </w:p>
    <w:p>
      <w:r>
        <w:t xml:space="preserve">[13] </w:t>
      </w:r>
      <w:r>
        <w:t xml:space="preserve"> (What does Allah mean by such a similitude?)</w:t>
      </w:r>
    </w:p>
    <w:p>
      <w:r>
        <w:t xml:space="preserve">[14] </w:t>
      </w:r>
      <w:r>
        <w:t xml:space="preserve"> (Nûr upon nûr.)</w:t>
      </w:r>
    </w:p>
    <w:p>
      <w:r>
        <w:t xml:space="preserve">[15] </w:t>
      </w:r>
      <w:r>
        <w:t xml:space="preserve"> (Many.)</w:t>
      </w:r>
    </w:p>
    <w:p>
      <w:r>
        <w:t xml:space="preserve">[16] </w:t>
      </w:r>
      <w:r>
        <w:t xml:space="preserve"> (</w:t>
      </w:r>
      <w:r>
        <w:rPr>
          <w:i/>
        </w:rPr>
        <w:t xml:space="preserve">The following explanation is included in Abdulmajid Nursî’s translation of this sentence:</w:t>
      </w:r>
    </w:p>
    <w:p>
      <w:r>
        <w:t xml:space="preserve">[16] </w:t>
      </w:r>
      <w:r>
        <w:t xml:space="preserve">“To consider and portray the </w:t>
      </w:r>
      <w:hyperlink r:id="rIdL12">
        <w:r>
          <w:rPr>
            <w:color w:val="0563C1"/>
            <w:u w:val="single"/>
          </w:rPr>
          <w:t xml:space="preserve">fadhîlah</w:t>
        </w:r>
      </w:hyperlink>
      <w:r>
        <w:t xml:space="preserve"> and </w:t>
      </w:r>
      <w:hyperlink r:id="rIdL13">
        <w:r>
          <w:rPr>
            <w:color w:val="0563C1"/>
            <w:u w:val="single"/>
          </w:rPr>
          <w:t xml:space="preserve">hidâyah</w:t>
        </w:r>
      </w:hyperlink>
      <w:r>
        <w:t xml:space="preserve"> of a small portion of mankind as many demonstrate the mercy and favour of the Qur’an toward mankind. Moreover, one man who possesses fadhîlah is equivalent to a thousand who lack it; therefore, even if those who possess fadhîlah are few in number, they appear as many.”</w:t>
      </w:r>
    </w:p>
    <w:p>
      <w:r>
        <w:t xml:space="preserve">[16] </w:t>
      </w:r>
      <w:r>
        <w:rPr>
          <w:i/>
        </w:rPr>
        <w:t xml:space="preserve">The following explanation is included in Abdulkadir Badilli’s translation of this sentence:</w:t>
      </w:r>
    </w:p>
    <w:p>
      <w:r>
        <w:t xml:space="preserve">[16] </w:t>
      </w:r>
      <w:r>
        <w:t xml:space="preserve">“With the beginning of the Qur’an’s revelation to the Prophet (asm), the jihâd for examination and fulfilling man's accountability through the obligations placed on him by Allah began for mankind. This jihâd has revealed the gems and gold mines hidden within the fitrah of man, even if they are few in number. If this accountability and examination had not existed, mankind would have remained as unrefined, raw ores. Therefore, the Qur’an is indeed an immense rahmah for mankind.”) </w:t>
      </w:r>
      <w:r>
        <w:rPr>
          <w:i/>
        </w:rPr>
        <w:t xml:space="preserve">(Tr.)</w:t>
      </w:r>
    </w:p>
    <w:p>
      <w:r>
        <w:t xml:space="preserve">[16] </w:t>
      </w:r>
      <w:r>
        <w:rPr>
          <w:i/>
        </w:rPr>
        <w:t xml:space="preserve">(Please also refer to </w:t>
      </w:r>
      <w:r>
        <w:rPr>
          <w:i/>
        </w:rPr>
        <w:t xml:space="preserve">the </w:t>
      </w:r>
      <w:hyperlink r:id="rIdL14">
        <w:r>
          <w:rPr>
            <w:i/>
            <w:color w:val="0563C1"/>
            <w:u w:val="single"/>
          </w:rPr>
          <w:t xml:space="preserve">Thirteenth Flash-Eighth Indication</w:t>
        </w:r>
      </w:hyperlink>
      <w:r>
        <w:rPr>
          <w:i/>
        </w:rPr>
        <w:t xml:space="preserve"> for further explanation about the Qur’an being a great rahmah for mankind.)</w:t>
      </w:r>
    </w:p>
    <w:p>
      <w:r>
        <w:t xml:space="preserve">[17] </w:t>
      </w:r>
      <w:r>
        <w:t xml:space="preserve"> (Those who have fallen into dhalâlah.)</w:t>
      </w:r>
    </w:p>
    <w:p>
      <w:r>
        <w:t xml:space="preserve">[18] </w:t>
      </w:r>
      <w:r>
        <w:t xml:space="preserve"> (Who break the covenant of Allah after accepting it, and sever what Allah has commanded to be maintained, and cause corruption on earth.) </w:t>
      </w:r>
    </w:p>
    <w:p>
      <w:r>
        <w:t xml:space="preserve">[19] </w:t>
      </w:r>
      <w:r>
        <w:t xml:space="preserve"> [The original Arabic text employs the word “a‘jub” (</w:t>
      </w:r>
      <w:r>
        <w:rPr>
          <w:color w:val="FF0000"/>
        </w:rPr>
        <w:t xml:space="preserve">أَعْجُب</w:t>
      </w:r>
      <w:r>
        <w:t xml:space="preserve">), which is the plural of “‘ajb” (</w:t>
      </w:r>
      <w:r>
        <w:rPr>
          <w:color w:val="FF0000"/>
        </w:rPr>
        <w:t xml:space="preserve">الْعَجْب</w:t>
      </w:r>
      <w:r>
        <w:t xml:space="preserve">). In classical lexicography, it refers to the root of the tail or the foundational core of a structure. Most notably, this term shares its root with the Islamic term “‘ajb adh-dhanab” (</w:t>
      </w:r>
      <w:r>
        <w:rPr>
          <w:color w:val="FF0000"/>
        </w:rPr>
        <w:t xml:space="preserve">عَجْبُ الذَّنَب</w:t>
      </w:r>
      <w:r>
        <w:t xml:space="preserve">) (the coccyx or tailbone). According to hadiths, ‘ajb adh-dhanab is the indestructible physical core of human creation from which the entire body is initially formed, and from which it will be resurrected and recreated in the âkhirah. In this profound allegorical context, Hazrat Bediüzzaman uses the term to signify that humanity is not a random addition to the universe, but rather the most vital, foundational and wondrous terminal link — the very seed and nucleus — of that universal, luminous chain of the order created by Allah that reaches its ultimate fruition in the man’s rûh.] </w:t>
      </w:r>
      <w:r>
        <w:rPr>
          <w:i/>
        </w:rPr>
        <w:t xml:space="preserve">(Tr.)</w:t>
      </w:r>
    </w:p>
    <w:p>
      <w:r>
        <w:t xml:space="preserve">[20] </w:t>
      </w:r>
      <w:r>
        <w:t xml:space="preserve"> (The Qur'an and the Sunnah.)</w:t>
      </w:r>
      <w:r>
        <w:rPr>
          <w:i/>
        </w:rPr>
        <w:t xml:space="preserve"> (Tr.)</w:t>
      </w:r>
    </w:p>
    <w:p>
      <w:r>
        <w:t xml:space="preserve">[21] </w:t>
      </w:r>
      <w:r>
        <w:t xml:space="preserve"> (</w:t>
      </w:r>
      <w:r>
        <w:rPr>
          <w:i/>
        </w:rPr>
        <w:t xml:space="preserve">The following explanation is included in Abdulkadir Badilli’s translation of this sentence:</w:t>
      </w:r>
    </w:p>
    <w:p>
      <w:r>
        <w:t xml:space="preserve">[21] </w:t>
      </w:r>
      <w:r>
        <w:t xml:space="preserve">“That is, it is diverting those dispositions from their positive aspect and directing them towards the negative aspect.) </w:t>
      </w:r>
      <w:r>
        <w:rPr>
          <w:i/>
        </w:rPr>
        <w:t xml:space="preserve">(Tr.)</w:t>
      </w:r>
    </w:p>
    <w:p>
      <w:r>
        <w:t xml:space="preserve">[22] </w:t>
      </w:r>
      <w:r>
        <w:t xml:space="preserve"> (</w:t>
      </w:r>
      <w:r>
        <w:rPr>
          <w:i/>
        </w:rPr>
        <w:t xml:space="preserve">A note added to this part in the Abdulkadir Badilli translation:</w:t>
      </w:r>
    </w:p>
    <w:p>
      <w:r>
        <w:t xml:space="preserve">[22] </w:t>
      </w:r>
      <w:r>
        <w:t xml:space="preserve">“</w:t>
      </w:r>
      <w:r>
        <w:rPr>
          <w:b/>
        </w:rPr>
        <w:t xml:space="preserve">Note:</w:t>
      </w:r>
      <w:r>
        <w:t xml:space="preserve"> This is an extremely important lesson for Muslims.”) </w:t>
      </w:r>
      <w:r>
        <w:rPr>
          <w:i/>
        </w:rPr>
        <w:t xml:space="preserve">(Tr.)</w:t>
      </w:r>
    </w:p>
    <w:p>
      <w:r>
        <w:t xml:space="preserve">[23] </w:t>
      </w:r>
      <w:r>
        <w:t xml:space="preserve"> (…and sever what Allah has commanded to be maintained,…)</w:t>
      </w:r>
    </w:p>
    <w:p>
      <w:r>
        <w:t xml:space="preserve">[24] </w:t>
      </w:r>
      <w:r>
        <w:t xml:space="preserve"> (…what Allah has commanded…)</w:t>
      </w:r>
    </w:p>
    <w:p>
      <w:r>
        <w:t xml:space="preserve">[25] </w:t>
      </w:r>
      <w:r>
        <w:t xml:space="preserve"> (</w:t>
      </w:r>
      <w:r>
        <w:rPr>
          <w:i/>
        </w:rPr>
        <w:t xml:space="preserve">The following explanation is included in Abdulkadir Badilli’s translation of this sentence:</w:t>
      </w:r>
    </w:p>
    <w:p>
      <w:r>
        <w:t xml:space="preserve">[25] </w:t>
      </w:r>
      <w:r>
        <w:t xml:space="preserve">“That is, the order and balance in the fitrah.”) </w:t>
      </w:r>
      <w:r>
        <w:rPr>
          <w:i/>
        </w:rPr>
        <w:t xml:space="preserve">(Tr.)</w:t>
      </w:r>
    </w:p>
    <w:p>
      <w:r>
        <w:t xml:space="preserve">[26] </w:t>
      </w:r>
      <w:r>
        <w:t xml:space="preserve"> (</w:t>
      </w:r>
      <w:r>
        <w:rPr>
          <w:b/>
        </w:rPr>
        <w:t xml:space="preserve">Sila ar-rahm:</w:t>
      </w:r>
      <w:r>
        <w:t xml:space="preserve"> Etymologically, </w:t>
      </w:r>
      <w:r>
        <w:rPr>
          <w:i/>
        </w:rPr>
        <w:t xml:space="preserve">sila</w:t>
      </w:r>
      <w:r>
        <w:t xml:space="preserve"> — from the root </w:t>
      </w:r>
      <w:r>
        <w:rPr>
          <w:i/>
        </w:rPr>
        <w:t xml:space="preserve">w-s-l </w:t>
      </w:r>
      <w:r>
        <w:t xml:space="preserve">(</w:t>
      </w:r>
      <w:r>
        <w:rPr>
          <w:color w:val="FF0000"/>
        </w:rPr>
        <w:t xml:space="preserve">وصل</w:t>
      </w:r>
      <w:r>
        <w:t xml:space="preserve">) — means connection, arrival, or joining that which has been severed; while </w:t>
      </w:r>
      <w:r>
        <w:rPr>
          <w:i/>
        </w:rPr>
        <w:t xml:space="preserve">rahm</w:t>
      </w:r>
      <w:r>
        <w:t xml:space="preserve"> — from the root </w:t>
      </w:r>
      <w:r>
        <w:rPr>
          <w:i/>
        </w:rPr>
        <w:t xml:space="preserve">r-h-m </w:t>
      </w:r>
      <w:r>
        <w:t xml:space="preserve">(</w:t>
      </w:r>
      <w:r>
        <w:rPr>
          <w:color w:val="FF0000"/>
        </w:rPr>
        <w:t xml:space="preserve">ر ح م</w:t>
      </w:r>
      <w:r>
        <w:t xml:space="preserve">) — literally means the womb—the biological and ma’nawî vessel of unconditional </w:t>
      </w:r>
      <w:r>
        <w:rPr>
          <w:i/>
        </w:rPr>
        <w:t xml:space="preserve">rahmah</w:t>
      </w:r>
      <w:r>
        <w:t xml:space="preserve">. </w:t>
      </w:r>
    </w:p>
    <w:p>
      <w:r>
        <w:t xml:space="preserve">[26] </w:t>
      </w:r>
      <w:r>
        <w:rPr>
          <w:b/>
        </w:rPr>
        <w:t xml:space="preserve">As an Islamic term,</w:t>
      </w:r>
      <w:r>
        <w:t xml:space="preserve"> </w:t>
      </w:r>
      <w:r>
        <w:rPr>
          <w:i/>
        </w:rPr>
        <w:t xml:space="preserve">sila ar-rahm</w:t>
      </w:r>
      <w:r>
        <w:t xml:space="preserve"> represents the sacred, womb-like connectedness of mutual care, mercy and compassion that unites the entire community of believers as an interconnected body not only by biological kinship but the brotherhood (ukhuwwah) arising from îmân.) </w:t>
      </w:r>
      <w:r>
        <w:rPr>
          <w:i/>
        </w:rPr>
        <w:t xml:space="preserve">(Tr.)</w:t>
      </w:r>
    </w:p>
    <w:p>
      <w:r>
        <w:t xml:space="preserve">[27] </w:t>
      </w:r>
      <w:r>
        <w:t xml:space="preserve"> (…and cause</w:t>
      </w:r>
      <w:r>
        <w:rPr>
          <w:i/>
        </w:rPr>
        <w:t xml:space="preserve"> </w:t>
      </w:r>
      <w:r>
        <w:t xml:space="preserve">corruption on earth.)</w:t>
      </w:r>
    </w:p>
    <w:sectPr>
      <w:pgSz w:w="11906" w:h="16838"/>
      <w:pgMar w:top="1417" w:right="1417" w:bottom="1417" w:left="1417" w:header="708" w:footer="708" w:gutter="0"/>
    </w:sectPr>
  </w:body>
</w:document>
</file>

<file path=word/fontTable.xml><?xml version="1.0" encoding="utf-8"?>
<w:fonts xmlns:w="http://schemas.openxmlformats.org/wordprocessingml/2006/main">
  <w:font w:name="Calibri">
    <w:charset w:val="A2"/>
    <w:family w:val="swiss"/>
    <w:pitch w:val="variable"/>
  </w:font>
</w:fonts>
</file>

<file path=word/settings.xml><?xml version="1.0" encoding="utf-8"?>
<w:settings xmlns:w="http://schemas.openxmlformats.org/wordprocessingml/2006/main">
  <w:zoom w:percent="100"/>
  <w:defaultTabStop w:val="720"/>
  <w:compat/>
</w:settings>
</file>

<file path=word/styles.xml><?xml version="1.0" encoding="utf-8"?>
<w:styles xmlns:w="http://schemas.openxmlformats.org/wordprocessingml/2006/main">
  <w:docDefaults>
    <w:pPrDefault>
      <w:pPr>
        <w:spacing w:after="0" w:line="240" w:lineRule="auto"/>
      </w:pPr>
    </w:pPrDefault>
    <w:rPrDefault>
      <w:rPr>
        <w:rFonts w:ascii="Calibri" w:hAnsi="Calibri" w:cs="Calibri"/>
        <w:sz w:val="24"/>
        <w:szCs w:val="24"/>
      </w:rPr>
    </w:rPrDefault>
  </w:docDefaults>
  <w:style w:type="paragraph" w:default="1" w:styleId="Normal">
    <w:name w:val="Normal"/>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fontTable" Target="fontTable.xml"/><Relationship Id="rIdL1" Type="http://schemas.openxmlformats.org/officeDocument/2006/relationships/hyperlink" Target="https://risaleinur.online/english/_dictionary/A/AS_SIRATAL_MUSTAQIM.php" TargetMode="External"/><Relationship Id="rIdL2" Type="http://schemas.openxmlformats.org/officeDocument/2006/relationships/hyperlink" Target="https://risaleinur.online/english/_dictionary/K/KUFR.php" TargetMode="External"/><Relationship Id="rIdL3" Type="http://schemas.openxmlformats.org/officeDocument/2006/relationships/hyperlink" Target="https://risaleinur.online/english/_dictionary/A/AHL_AL_SUNNAH_wa_l_jamaah.php" TargetMode="External"/><Relationship Id="rIdL4" Type="http://schemas.openxmlformats.org/officeDocument/2006/relationships/hyperlink" Target="https://risaleinur.online/english/_dictionary/I/IMAN.php" TargetMode="External"/><Relationship Id="rIdL5" Type="http://schemas.openxmlformats.org/officeDocument/2006/relationships/hyperlink" Target="https://risaleinur.online/english/_dictionary/K/KAFIR.php" TargetMode="External"/><Relationship Id="rIdL6" Type="http://schemas.openxmlformats.org/officeDocument/2006/relationships/hyperlink" Target="https://risaleinur.online/english/_dictionary/D/DHALALAH.php" TargetMode="External"/><Relationship Id="rIdL7" Type="http://schemas.openxmlformats.org/officeDocument/2006/relationships/hyperlink" Target="https://risaleinur.online/english/_dictionary/R/RUH.php" TargetMode="External"/><Relationship Id="rIdL8" Type="http://schemas.openxmlformats.org/officeDocument/2006/relationships/hyperlink" Target="https://risaleinur.online/english/_dictionary/F/FITRAH.php" TargetMode="External"/><Relationship Id="rIdL9" Type="http://schemas.openxmlformats.org/officeDocument/2006/relationships/hyperlink" Target="https://risaleinur.online/english/_dictionary/A/AZAL.php" TargetMode="External"/><Relationship Id="rIdL10" Type="http://schemas.openxmlformats.org/officeDocument/2006/relationships/hyperlink" Target="https://risaleinur.online/english/_dictionary/H/HAQQ.php" TargetMode="External"/><Relationship Id="rIdL11" Type="http://schemas.openxmlformats.org/officeDocument/2006/relationships/hyperlink" Target="https://risaleinur.online/english/_dictionary/M/MARIFAT.php" TargetMode="External"/><Relationship Id="rIdL12" Type="http://schemas.openxmlformats.org/officeDocument/2006/relationships/hyperlink" Target="https://risaleinur.online/english/_dictionary/F/FADHILAH.php" TargetMode="External"/><Relationship Id="rIdL13" Type="http://schemas.openxmlformats.org/officeDocument/2006/relationships/hyperlink" Target="https://risaleinur.online/english/_dictionary/H/HIDAYAHA.php" TargetMode="External"/><Relationship Id="rIdL14" Type="http://schemas.openxmlformats.org/officeDocument/2006/relationships/hyperlink" Target="https://risaleinur.online/english/_rn_collection/THE_FLASHES/13th%20Flash/the_13th_flash_8.php" TargetMode="External"/></Relationships>
</file>

<file path=docProps/app.xml><?xml version="1.0" encoding="utf-8"?>
<Properties xmlns="http://schemas.openxmlformats.org/officeDocument/2006/extended-properties" xmlns:vt="http://schemas.openxmlformats.org/officeDocument/2006/docPropsVTypes">
  <Application>Risaleinuronline Panel</Application>
</Properties>
</file>

<file path=docProps/core.xml><?xml version="1.0" encoding="utf-8"?>
<cp:coreProperties xmlns:cp="http://schemas.openxmlformats.org/package/2006/metadata/core-properties" xmlns:dc="http://purl.org/dc/elements/1.1/" xmlns:dcterms="http://purl.org/dc/terms/" xmlns:xsi="http://www.w3.org/2001/XMLSchema-instance">
  <dc:title>FISQ</dc:title>
  <dc:creator>Risaleinuronline</dc:creator>
  <cp:lastModifiedBy>Risaleinuronline</cp:lastModifiedBy>
  <dcterms:created xsi:type="dcterms:W3CDTF">2026-08-30T12:49:10Z</dcterms:created>
  <dcterms:modified xsi:type="dcterms:W3CDTF">2026-08-30T12:49:10Z</dcterms:modified>
</cp:coreProperties>
</file>