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995C9" w14:textId="33A79ED3" w:rsidR="006B02E2" w:rsidRPr="00C76E8F" w:rsidRDefault="00C76E8F" w:rsidP="00C76E8F">
      <w:pPr>
        <w:jc w:val="center"/>
        <w:rPr>
          <w:sz w:val="24"/>
          <w:szCs w:val="24"/>
          <w:lang w:val="en-US"/>
        </w:rPr>
      </w:pPr>
      <w:r w:rsidRPr="00C76E8F">
        <w:rPr>
          <w:sz w:val="24"/>
          <w:szCs w:val="24"/>
          <w:lang w:val="en-US"/>
        </w:rPr>
        <w:t>178</w:t>
      </w:r>
    </w:p>
    <w:p w14:paraId="75327A5D" w14:textId="77777777" w:rsidR="00C76E8F" w:rsidRPr="00C76E8F" w:rsidRDefault="00C76E8F" w:rsidP="00C76E8F">
      <w:pPr>
        <w:jc w:val="both"/>
        <w:rPr>
          <w:rFonts w:ascii="Calibri" w:hAnsi="Calibri" w:cs="Calibri"/>
          <w:sz w:val="24"/>
          <w:szCs w:val="24"/>
        </w:rPr>
      </w:pPr>
    </w:p>
    <w:p w14:paraId="2C8D39E6" w14:textId="77777777" w:rsidR="00C76E8F" w:rsidRPr="00C76E8F" w:rsidRDefault="00C76E8F" w:rsidP="00C76E8F">
      <w:pPr>
        <w:jc w:val="both"/>
        <w:rPr>
          <w:rFonts w:ascii="Calibri" w:hAnsi="Calibri" w:cs="Calibri"/>
          <w:color w:val="000000"/>
          <w:sz w:val="24"/>
          <w:szCs w:val="24"/>
        </w:rPr>
      </w:pPr>
      <w:r w:rsidRPr="00C76E8F">
        <w:rPr>
          <w:rFonts w:ascii="Calibri" w:hAnsi="Calibri" w:cs="Calibri"/>
          <w:b/>
          <w:color w:val="000000"/>
          <w:sz w:val="24"/>
          <w:szCs w:val="24"/>
        </w:rPr>
        <w:t>If you say:</w:t>
      </w:r>
      <w:r w:rsidRPr="00C76E8F">
        <w:rPr>
          <w:rFonts w:ascii="Calibri" w:hAnsi="Calibri" w:cs="Calibri"/>
          <w:color w:val="000000"/>
          <w:sz w:val="24"/>
          <w:szCs w:val="24"/>
        </w:rPr>
        <w:t xml:space="preserve"> The restriction in the </w:t>
      </w:r>
      <w:proofErr w:type="spellStart"/>
      <w:r w:rsidRPr="00C76E8F">
        <w:rPr>
          <w:rFonts w:ascii="Calibri" w:hAnsi="Calibri" w:cs="Calibri"/>
          <w:color w:val="000000"/>
          <w:sz w:val="24"/>
          <w:szCs w:val="24"/>
        </w:rPr>
        <w:t>âyah</w:t>
      </w:r>
      <w:proofErr w:type="spellEnd"/>
      <w:r w:rsidRPr="00C76E8F">
        <w:rPr>
          <w:rFonts w:ascii="Calibri" w:hAnsi="Calibri" w:cs="Calibri"/>
          <w:color w:val="000000"/>
          <w:sz w:val="24"/>
          <w:szCs w:val="24"/>
        </w:rPr>
        <w:t xml:space="preserve"> </w:t>
      </w:r>
    </w:p>
    <w:p w14:paraId="40F2E6A0" w14:textId="77777777" w:rsidR="00C76E8F" w:rsidRDefault="00C76E8F" w:rsidP="00C76E8F">
      <w:pPr>
        <w:jc w:val="center"/>
        <w:rPr>
          <w:rFonts w:ascii="Calibri" w:hAnsi="Calibri" w:cs="Calibri"/>
          <w:color w:val="000000"/>
        </w:rPr>
      </w:pPr>
      <w:r w:rsidRPr="00166890">
        <w:rPr>
          <w:rFonts w:ascii="Calibri" w:hAnsi="Calibri" w:cs="Calibri"/>
          <w:color w:val="FF0000"/>
          <w:sz w:val="28"/>
          <w:szCs w:val="28"/>
          <w:rtl/>
        </w:rPr>
        <w:t>وَماَ يَخْدَعُونَ اِلَّا اَنْفُسَهُمْ</w:t>
      </w:r>
      <w:r>
        <w:rPr>
          <w:rStyle w:val="FootnoteReference"/>
          <w:rFonts w:ascii="Calibri" w:hAnsi="Calibri" w:cs="Calibri"/>
          <w:color w:val="FF0000"/>
          <w:sz w:val="28"/>
          <w:szCs w:val="28"/>
          <w:rtl/>
        </w:rPr>
        <w:footnoteReference w:id="1"/>
      </w:r>
    </w:p>
    <w:p w14:paraId="41865933" w14:textId="77777777" w:rsidR="00C76E8F" w:rsidRPr="00C76E8F" w:rsidRDefault="00C76E8F" w:rsidP="00C76E8F">
      <w:pPr>
        <w:jc w:val="both"/>
        <w:rPr>
          <w:rFonts w:ascii="Calibri" w:hAnsi="Calibri" w:cs="Calibri"/>
          <w:color w:val="000000"/>
          <w:sz w:val="24"/>
          <w:szCs w:val="24"/>
        </w:rPr>
      </w:pPr>
      <w:r w:rsidRPr="00C76E8F">
        <w:rPr>
          <w:rFonts w:ascii="Calibri" w:hAnsi="Calibri" w:cs="Calibri"/>
          <w:color w:val="000000"/>
          <w:sz w:val="24"/>
          <w:szCs w:val="24"/>
        </w:rPr>
        <w:t xml:space="preserve">implies that their deception has caused no harm to Islam and the Muslims. Yet Islam has suffered harm from nothing so severely as it has from the various types and branches of </w:t>
      </w:r>
      <w:proofErr w:type="spellStart"/>
      <w:r w:rsidRPr="00C76E8F">
        <w:rPr>
          <w:rFonts w:ascii="Calibri" w:hAnsi="Calibri" w:cs="Calibri"/>
          <w:color w:val="000000"/>
          <w:sz w:val="24"/>
          <w:szCs w:val="24"/>
        </w:rPr>
        <w:t>nifâq</w:t>
      </w:r>
      <w:proofErr w:type="spellEnd"/>
      <w:r w:rsidRPr="00C76E8F">
        <w:rPr>
          <w:rFonts w:ascii="Calibri" w:hAnsi="Calibri" w:cs="Calibri"/>
          <w:color w:val="000000"/>
          <w:sz w:val="24"/>
          <w:szCs w:val="24"/>
        </w:rPr>
        <w:t>, which have spread like poison throughout the nations of the Islamic world?</w:t>
      </w:r>
    </w:p>
    <w:p w14:paraId="5A18C188" w14:textId="77777777" w:rsidR="00C76E8F" w:rsidRPr="00C76E8F" w:rsidRDefault="00C76E8F" w:rsidP="00C76E8F">
      <w:pPr>
        <w:jc w:val="both"/>
        <w:rPr>
          <w:rFonts w:ascii="Calibri" w:hAnsi="Calibri" w:cs="Calibri"/>
          <w:color w:val="000000"/>
          <w:sz w:val="24"/>
          <w:szCs w:val="24"/>
        </w:rPr>
      </w:pPr>
      <w:r w:rsidRPr="00C76E8F">
        <w:rPr>
          <w:rFonts w:ascii="Calibri" w:hAnsi="Calibri" w:cs="Calibri"/>
          <w:b/>
          <w:color w:val="000000"/>
          <w:sz w:val="24"/>
          <w:szCs w:val="24"/>
        </w:rPr>
        <w:t>You would be told:</w:t>
      </w:r>
      <w:r w:rsidRPr="00C76E8F">
        <w:rPr>
          <w:rFonts w:ascii="Calibri" w:hAnsi="Calibri" w:cs="Calibri"/>
          <w:color w:val="000000"/>
          <w:sz w:val="24"/>
          <w:szCs w:val="24"/>
        </w:rPr>
        <w:t xml:space="preserve"> The spreading harm you witness and that circulating poison originate simply from their corrupted disposition, their decayed fitrah and their putrid conscience (</w:t>
      </w:r>
      <w:proofErr w:type="spellStart"/>
      <w:r w:rsidRPr="00C76E8F">
        <w:rPr>
          <w:rFonts w:ascii="Calibri" w:hAnsi="Calibri" w:cs="Calibri"/>
          <w:color w:val="000000"/>
          <w:sz w:val="24"/>
          <w:szCs w:val="24"/>
        </w:rPr>
        <w:t>vijdân</w:t>
      </w:r>
      <w:proofErr w:type="spellEnd"/>
      <w:r w:rsidRPr="00C76E8F">
        <w:rPr>
          <w:rFonts w:ascii="Calibri" w:hAnsi="Calibri" w:cs="Calibri"/>
          <w:color w:val="000000"/>
          <w:sz w:val="24"/>
          <w:szCs w:val="24"/>
        </w:rPr>
        <w:t>),</w:t>
      </w:r>
      <w:r w:rsidRPr="00C76E8F">
        <w:rPr>
          <w:sz w:val="24"/>
          <w:szCs w:val="24"/>
        </w:rPr>
        <w:t xml:space="preserve"> </w:t>
      </w:r>
      <w:r w:rsidRPr="00C76E8F">
        <w:rPr>
          <w:rFonts w:ascii="Calibri" w:hAnsi="Calibri" w:cs="Calibri"/>
          <w:color w:val="000000"/>
          <w:sz w:val="24"/>
          <w:szCs w:val="24"/>
        </w:rPr>
        <w:t xml:space="preserve">much like the spread of an infectious disease. They are not the product of the deceptions and tricks devised through their deliberate choice. For they intend to deceive Allah, the Prophet and the </w:t>
      </w:r>
      <w:proofErr w:type="spellStart"/>
      <w:r w:rsidRPr="00C76E8F">
        <w:rPr>
          <w:rFonts w:ascii="Calibri" w:hAnsi="Calibri" w:cs="Calibri"/>
          <w:color w:val="000000"/>
          <w:sz w:val="24"/>
          <w:szCs w:val="24"/>
        </w:rPr>
        <w:t>jamâ’ah</w:t>
      </w:r>
      <w:proofErr w:type="spellEnd"/>
      <w:r w:rsidRPr="00C76E8F">
        <w:rPr>
          <w:rFonts w:ascii="Calibri" w:hAnsi="Calibri" w:cs="Calibri"/>
          <w:color w:val="000000"/>
          <w:sz w:val="24"/>
          <w:szCs w:val="24"/>
        </w:rPr>
        <w:t xml:space="preserve"> of mu’mins; yet Allah knows all things, the Prophet (</w:t>
      </w:r>
      <w:proofErr w:type="spellStart"/>
      <w:r w:rsidRPr="00C76E8F">
        <w:rPr>
          <w:rFonts w:ascii="Calibri" w:hAnsi="Calibri" w:cs="Calibri"/>
          <w:color w:val="000000"/>
          <w:sz w:val="24"/>
          <w:szCs w:val="24"/>
        </w:rPr>
        <w:t>asm</w:t>
      </w:r>
      <w:proofErr w:type="spellEnd"/>
      <w:r w:rsidRPr="00C76E8F">
        <w:rPr>
          <w:rFonts w:ascii="Calibri" w:hAnsi="Calibri" w:cs="Calibri"/>
          <w:color w:val="000000"/>
          <w:sz w:val="24"/>
          <w:szCs w:val="24"/>
        </w:rPr>
        <w:t xml:space="preserve">) receives </w:t>
      </w:r>
      <w:proofErr w:type="spellStart"/>
      <w:r w:rsidRPr="00C76E8F">
        <w:rPr>
          <w:rFonts w:ascii="Calibri" w:hAnsi="Calibri" w:cs="Calibri"/>
          <w:color w:val="000000"/>
          <w:sz w:val="24"/>
          <w:szCs w:val="24"/>
        </w:rPr>
        <w:t>wahy</w:t>
      </w:r>
      <w:proofErr w:type="spellEnd"/>
      <w:r w:rsidRPr="00C76E8F">
        <w:rPr>
          <w:rFonts w:ascii="Calibri" w:hAnsi="Calibri" w:cs="Calibri"/>
          <w:color w:val="000000"/>
          <w:sz w:val="24"/>
          <w:szCs w:val="24"/>
        </w:rPr>
        <w:t xml:space="preserve">, and deception cannot stay concealed from the </w:t>
      </w:r>
      <w:proofErr w:type="spellStart"/>
      <w:r w:rsidRPr="00C76E8F">
        <w:rPr>
          <w:rFonts w:ascii="Calibri" w:hAnsi="Calibri" w:cs="Calibri"/>
          <w:color w:val="000000"/>
          <w:sz w:val="24"/>
          <w:szCs w:val="24"/>
        </w:rPr>
        <w:t>jamâ’ah</w:t>
      </w:r>
      <w:proofErr w:type="spellEnd"/>
      <w:r w:rsidRPr="00C76E8F">
        <w:rPr>
          <w:rFonts w:ascii="Calibri" w:hAnsi="Calibri" w:cs="Calibri"/>
          <w:color w:val="000000"/>
          <w:sz w:val="24"/>
          <w:szCs w:val="24"/>
        </w:rPr>
        <w:t xml:space="preserve"> of mu’mins for long, so they are not deceived. Thus, it is proven that they deceive none but themselves.</w:t>
      </w:r>
    </w:p>
    <w:p w14:paraId="0FD279E8" w14:textId="77777777" w:rsidR="00C76E8F" w:rsidRPr="00C76E8F" w:rsidRDefault="00C76E8F" w:rsidP="00C76E8F">
      <w:pPr>
        <w:jc w:val="center"/>
        <w:rPr>
          <w:sz w:val="24"/>
          <w:szCs w:val="24"/>
          <w:lang w:val="en-US"/>
        </w:rPr>
      </w:pPr>
    </w:p>
    <w:sectPr w:rsidR="00C76E8F" w:rsidRPr="00C76E8F" w:rsidSect="006302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E26E" w14:textId="77777777" w:rsidR="002B5671" w:rsidRDefault="002B5671" w:rsidP="00C76E8F">
      <w:pPr>
        <w:spacing w:before="0"/>
      </w:pPr>
      <w:r>
        <w:separator/>
      </w:r>
    </w:p>
  </w:endnote>
  <w:endnote w:type="continuationSeparator" w:id="0">
    <w:p w14:paraId="1B8B501A" w14:textId="77777777" w:rsidR="002B5671" w:rsidRDefault="002B5671" w:rsidP="00C76E8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927D1" w14:textId="77777777" w:rsidR="002B5671" w:rsidRDefault="002B5671" w:rsidP="00C76E8F">
      <w:pPr>
        <w:spacing w:before="0"/>
      </w:pPr>
      <w:r>
        <w:separator/>
      </w:r>
    </w:p>
  </w:footnote>
  <w:footnote w:type="continuationSeparator" w:id="0">
    <w:p w14:paraId="205946BC" w14:textId="77777777" w:rsidR="002B5671" w:rsidRDefault="002B5671" w:rsidP="00C76E8F">
      <w:pPr>
        <w:spacing w:before="0"/>
      </w:pPr>
      <w:r>
        <w:continuationSeparator/>
      </w:r>
    </w:p>
  </w:footnote>
  <w:footnote w:id="1">
    <w:p w14:paraId="02C56D9B" w14:textId="77777777" w:rsidR="00C76E8F" w:rsidRPr="00166890" w:rsidRDefault="00C76E8F" w:rsidP="00C76E8F">
      <w:pPr>
        <w:pStyle w:val="FootnoteText"/>
        <w:spacing w:before="120"/>
        <w:jc w:val="both"/>
        <w:rPr>
          <w:lang w:val="en-US"/>
        </w:rPr>
      </w:pPr>
      <w:r w:rsidRPr="00166890">
        <w:rPr>
          <w:rStyle w:val="FootnoteReference"/>
          <w:rFonts w:ascii="Calibri" w:hAnsi="Calibri" w:cs="Calibri"/>
          <w:sz w:val="24"/>
          <w:szCs w:val="24"/>
        </w:rPr>
        <w:footnoteRef/>
      </w:r>
      <w:r w:rsidRPr="00166890">
        <w:rPr>
          <w:rFonts w:ascii="Calibri" w:hAnsi="Calibri" w:cs="Calibri"/>
          <w:sz w:val="24"/>
          <w:szCs w:val="24"/>
        </w:rPr>
        <w:t xml:space="preserve"> (</w:t>
      </w:r>
      <w:proofErr w:type="spellStart"/>
      <w:r w:rsidRPr="00166890">
        <w:rPr>
          <w:rFonts w:ascii="Calibri" w:hAnsi="Calibri" w:cs="Calibri"/>
          <w:sz w:val="24"/>
          <w:szCs w:val="24"/>
        </w:rPr>
        <w:t>And</w:t>
      </w:r>
      <w:proofErr w:type="spellEnd"/>
      <w:r w:rsidRPr="00166890">
        <w:rPr>
          <w:rFonts w:ascii="Calibri" w:hAnsi="Calibri" w:cs="Calibri"/>
          <w:sz w:val="24"/>
          <w:szCs w:val="24"/>
        </w:rPr>
        <w:t xml:space="preserve"> they </w:t>
      </w:r>
      <w:proofErr w:type="spellStart"/>
      <w:r w:rsidRPr="00166890">
        <w:rPr>
          <w:rFonts w:ascii="Calibri" w:hAnsi="Calibri" w:cs="Calibri"/>
          <w:sz w:val="24"/>
          <w:szCs w:val="24"/>
        </w:rPr>
        <w:t>deceive</w:t>
      </w:r>
      <w:proofErr w:type="spellEnd"/>
      <w:r w:rsidRPr="00166890">
        <w:rPr>
          <w:rFonts w:ascii="Calibri" w:hAnsi="Calibri" w:cs="Calibri"/>
          <w:sz w:val="24"/>
          <w:szCs w:val="24"/>
        </w:rPr>
        <w:t xml:space="preserve"> </w:t>
      </w:r>
      <w:proofErr w:type="spellStart"/>
      <w:r w:rsidRPr="00166890">
        <w:rPr>
          <w:rFonts w:ascii="Calibri" w:hAnsi="Calibri" w:cs="Calibri"/>
          <w:sz w:val="24"/>
          <w:szCs w:val="24"/>
        </w:rPr>
        <w:t>none</w:t>
      </w:r>
      <w:proofErr w:type="spellEnd"/>
      <w:r w:rsidRPr="00166890">
        <w:rPr>
          <w:rFonts w:ascii="Calibri" w:hAnsi="Calibri" w:cs="Calibri"/>
          <w:sz w:val="24"/>
          <w:szCs w:val="24"/>
        </w:rPr>
        <w:t xml:space="preserve"> but </w:t>
      </w:r>
      <w:proofErr w:type="spellStart"/>
      <w:r w:rsidRPr="00166890">
        <w:rPr>
          <w:rFonts w:ascii="Calibri" w:hAnsi="Calibri" w:cs="Calibri"/>
          <w:sz w:val="24"/>
          <w:szCs w:val="24"/>
        </w:rPr>
        <w:t>themselves</w:t>
      </w:r>
      <w:proofErr w:type="spellEnd"/>
      <w:r w:rsidRPr="00166890">
        <w:rPr>
          <w:rFonts w:ascii="Calibri" w:hAnsi="Calibri" w:cs="Calibri"/>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8F"/>
    <w:rsid w:val="000B10D0"/>
    <w:rsid w:val="002B5671"/>
    <w:rsid w:val="004C43B3"/>
    <w:rsid w:val="006302EA"/>
    <w:rsid w:val="006B02E2"/>
    <w:rsid w:val="007341CE"/>
    <w:rsid w:val="0075733D"/>
    <w:rsid w:val="008474D2"/>
    <w:rsid w:val="009F1297"/>
    <w:rsid w:val="00C76E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9DA2B20"/>
  <w15:chartTrackingRefBased/>
  <w15:docId w15:val="{A92854AD-47E9-4FE3-BDD9-0918936B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6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6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6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6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6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6E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E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E8F"/>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E8F"/>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E8F"/>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C76E8F"/>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C76E8F"/>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C76E8F"/>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C76E8F"/>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C76E8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76E8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76E8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76E8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76E8F"/>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E8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76E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E8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76E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76E8F"/>
    <w:rPr>
      <w:i/>
      <w:iCs/>
      <w:color w:val="404040" w:themeColor="text1" w:themeTint="BF"/>
      <w:lang w:val="en-GB"/>
    </w:rPr>
  </w:style>
  <w:style w:type="paragraph" w:styleId="ListParagraph">
    <w:name w:val="List Paragraph"/>
    <w:basedOn w:val="Normal"/>
    <w:uiPriority w:val="34"/>
    <w:qFormat/>
    <w:rsid w:val="00C76E8F"/>
    <w:pPr>
      <w:ind w:left="720"/>
      <w:contextualSpacing/>
    </w:pPr>
  </w:style>
  <w:style w:type="character" w:styleId="IntenseEmphasis">
    <w:name w:val="Intense Emphasis"/>
    <w:basedOn w:val="DefaultParagraphFont"/>
    <w:uiPriority w:val="21"/>
    <w:qFormat/>
    <w:rsid w:val="00C76E8F"/>
    <w:rPr>
      <w:i/>
      <w:iCs/>
      <w:color w:val="2F5496" w:themeColor="accent1" w:themeShade="BF"/>
    </w:rPr>
  </w:style>
  <w:style w:type="paragraph" w:styleId="IntenseQuote">
    <w:name w:val="Intense Quote"/>
    <w:basedOn w:val="Normal"/>
    <w:next w:val="Normal"/>
    <w:link w:val="IntenseQuoteChar"/>
    <w:uiPriority w:val="30"/>
    <w:qFormat/>
    <w:rsid w:val="00C76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6E8F"/>
    <w:rPr>
      <w:i/>
      <w:iCs/>
      <w:color w:val="2F5496" w:themeColor="accent1" w:themeShade="BF"/>
      <w:lang w:val="en-GB"/>
    </w:rPr>
  </w:style>
  <w:style w:type="character" w:styleId="IntenseReference">
    <w:name w:val="Intense Reference"/>
    <w:basedOn w:val="DefaultParagraphFont"/>
    <w:uiPriority w:val="32"/>
    <w:qFormat/>
    <w:rsid w:val="00C76E8F"/>
    <w:rPr>
      <w:b/>
      <w:bCs/>
      <w:smallCaps/>
      <w:color w:val="2F5496" w:themeColor="accent1" w:themeShade="BF"/>
      <w:spacing w:val="5"/>
    </w:rPr>
  </w:style>
  <w:style w:type="character" w:customStyle="1" w:styleId="FootnoteTextChar">
    <w:name w:val="Footnote Text Char"/>
    <w:basedOn w:val="DefaultParagraphFont"/>
    <w:link w:val="FootnoteText"/>
    <w:uiPriority w:val="99"/>
    <w:qFormat/>
    <w:locked/>
    <w:rsid w:val="00C76E8F"/>
    <w:rPr>
      <w:rFonts w:ascii="Times New Roman" w:hAnsi="Times New Roman" w:cs="Times New Roman"/>
      <w:sz w:val="20"/>
      <w:szCs w:val="20"/>
      <w:lang w:eastAsia="tr-TR" w:bidi="ar-AE"/>
    </w:rPr>
  </w:style>
  <w:style w:type="paragraph" w:styleId="FootnoteText">
    <w:name w:val="footnote text"/>
    <w:basedOn w:val="Normal"/>
    <w:link w:val="FootnoteTextChar"/>
    <w:uiPriority w:val="99"/>
    <w:rsid w:val="00C76E8F"/>
    <w:pPr>
      <w:spacing w:before="0"/>
    </w:pPr>
    <w:rPr>
      <w:rFonts w:ascii="Times New Roman" w:hAnsi="Times New Roman" w:cs="Times New Roman"/>
      <w:sz w:val="20"/>
      <w:szCs w:val="20"/>
      <w:lang w:val="tr-TR" w:eastAsia="tr-TR" w:bidi="ar-AE"/>
    </w:rPr>
  </w:style>
  <w:style w:type="character" w:customStyle="1" w:styleId="FootnoteTextChar1">
    <w:name w:val="Footnote Text Char1"/>
    <w:basedOn w:val="DefaultParagraphFont"/>
    <w:uiPriority w:val="99"/>
    <w:semiHidden/>
    <w:rsid w:val="00C76E8F"/>
    <w:rPr>
      <w:sz w:val="20"/>
      <w:szCs w:val="20"/>
      <w:lang w:val="en-GB"/>
    </w:rPr>
  </w:style>
  <w:style w:type="character" w:styleId="FootnoteReference">
    <w:name w:val="footnote reference"/>
    <w:basedOn w:val="DefaultParagraphFont"/>
    <w:rsid w:val="00C76E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1</cp:revision>
  <dcterms:created xsi:type="dcterms:W3CDTF">2026-08-08T13:11:00Z</dcterms:created>
  <dcterms:modified xsi:type="dcterms:W3CDTF">2026-08-08T13:11:00Z</dcterms:modified>
</cp:coreProperties>
</file>