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776A7" w14:textId="18F14224" w:rsidR="006B02E2" w:rsidRDefault="00667D29" w:rsidP="00667D29">
      <w:pPr>
        <w:jc w:val="center"/>
        <w:rPr>
          <w:sz w:val="24"/>
          <w:szCs w:val="24"/>
          <w:lang w:val="en-US"/>
        </w:rPr>
      </w:pPr>
      <w:r w:rsidRPr="00667D29">
        <w:rPr>
          <w:sz w:val="24"/>
          <w:szCs w:val="24"/>
          <w:lang w:val="en-US"/>
        </w:rPr>
        <w:t>163-164</w:t>
      </w:r>
    </w:p>
    <w:p w14:paraId="4C084C4E" w14:textId="77777777" w:rsidR="00667D29" w:rsidRPr="00AE75E9" w:rsidRDefault="00667D29" w:rsidP="00667D29">
      <w:pPr>
        <w:jc w:val="center"/>
        <w:rPr>
          <w:rFonts w:ascii="Calibri" w:hAnsi="Calibri" w:cs="Calibri"/>
          <w:color w:val="FF0000"/>
          <w:sz w:val="28"/>
          <w:szCs w:val="28"/>
        </w:rPr>
      </w:pPr>
      <w:r w:rsidRPr="00AE75E9">
        <w:rPr>
          <w:rFonts w:ascii="Calibri" w:hAnsi="Calibri" w:cs="Calibri"/>
          <w:color w:val="FF0000"/>
          <w:sz w:val="28"/>
          <w:szCs w:val="28"/>
          <w:rtl/>
        </w:rPr>
        <w:t>وَمِنَ النَّاسِ مَنْ يَقُولُ اٰمَنَّا بِاللّٰهِ وَبِالْيَوْمِ اْلاٰخِرِ وَمَاهُمْ بِمُؤْمِن۪ينَۢ</w:t>
      </w:r>
      <w:r w:rsidRPr="00AE75E9">
        <w:rPr>
          <w:rStyle w:val="DipnotSabitleyicisi"/>
          <w:rFonts w:ascii="Calibri" w:hAnsi="Calibri" w:cs="Calibri"/>
          <w:color w:val="FF0000"/>
          <w:sz w:val="28"/>
          <w:szCs w:val="28"/>
        </w:rPr>
        <w:footnoteReference w:id="1"/>
      </w:r>
    </w:p>
    <w:p w14:paraId="756433E2" w14:textId="77777777" w:rsidR="00667D29" w:rsidRPr="00667D29" w:rsidRDefault="00667D29" w:rsidP="00667D29">
      <w:pPr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667D29">
        <w:rPr>
          <w:rFonts w:ascii="Calibri" w:hAnsi="Calibri" w:cs="Calibri"/>
          <w:b/>
          <w:bCs/>
          <w:color w:val="000000"/>
          <w:sz w:val="24"/>
          <w:szCs w:val="24"/>
        </w:rPr>
        <w:t xml:space="preserve">If you were to ask: </w:t>
      </w:r>
      <w:r w:rsidRPr="00667D29">
        <w:rPr>
          <w:rFonts w:ascii="Calibri" w:hAnsi="Calibri" w:cs="Calibri"/>
          <w:color w:val="000000"/>
          <w:sz w:val="24"/>
          <w:szCs w:val="24"/>
        </w:rPr>
        <w:t xml:space="preserve">“Why does the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Qur’ân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mention the absolute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kâfirs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succinctly in two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âyahs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, while expounding upon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nifâq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in twelve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âyahs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>?”</w:t>
      </w:r>
    </w:p>
    <w:p w14:paraId="2027665B" w14:textId="77777777" w:rsidR="00667D29" w:rsidRPr="00667D29" w:rsidRDefault="00667D29" w:rsidP="00667D29">
      <w:pPr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667D29">
        <w:rPr>
          <w:rFonts w:ascii="Calibri" w:hAnsi="Calibri" w:cs="Calibri"/>
          <w:b/>
          <w:bCs/>
          <w:color w:val="000000"/>
          <w:sz w:val="24"/>
          <w:szCs w:val="24"/>
        </w:rPr>
        <w:t xml:space="preserve">The answer is: </w:t>
      </w:r>
      <w:r w:rsidRPr="00667D29">
        <w:rPr>
          <w:rFonts w:ascii="Calibri" w:hAnsi="Calibri" w:cs="Calibri"/>
          <w:color w:val="000000"/>
          <w:sz w:val="24"/>
          <w:szCs w:val="24"/>
        </w:rPr>
        <w:t>For several subtle hikmahs:</w:t>
      </w:r>
    </w:p>
    <w:p w14:paraId="228E7146" w14:textId="77777777" w:rsidR="00667D29" w:rsidRPr="00667D29" w:rsidRDefault="00667D29" w:rsidP="00667D29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667D29">
        <w:rPr>
          <w:rFonts w:ascii="Calibri" w:hAnsi="Calibri" w:cs="Calibri"/>
          <w:b/>
          <w:color w:val="000000"/>
          <w:sz w:val="24"/>
          <w:szCs w:val="24"/>
        </w:rPr>
        <w:t>Firstly:</w:t>
      </w:r>
      <w:r w:rsidRPr="00667D29">
        <w:rPr>
          <w:rFonts w:ascii="Calibri" w:hAnsi="Calibri" w:cs="Calibri"/>
          <w:color w:val="000000"/>
          <w:sz w:val="24"/>
          <w:szCs w:val="24"/>
        </w:rPr>
        <w:t xml:space="preserve"> An enemy is far more harmful when he remains unknown. And if he is</w:t>
      </w:r>
      <w:r w:rsidRPr="00667D29">
        <w:rPr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mukhannis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(</w:t>
      </w:r>
      <w:r w:rsidRPr="00667D29">
        <w:rPr>
          <w:rStyle w:val="FootnoteReference"/>
          <w:rFonts w:ascii="Calibri" w:hAnsi="Calibri" w:cs="Calibri"/>
          <w:color w:val="000000"/>
          <w:sz w:val="24"/>
          <w:szCs w:val="24"/>
        </w:rPr>
        <w:footnoteReference w:id="2"/>
      </w:r>
      <w:r w:rsidRPr="00667D29">
        <w:rPr>
          <w:rFonts w:ascii="Calibri" w:hAnsi="Calibri" w:cs="Calibri"/>
          <w:color w:val="FF0000"/>
          <w:sz w:val="28"/>
          <w:szCs w:val="28"/>
          <w:rtl/>
        </w:rPr>
        <w:t>مُخَنّس</w:t>
      </w:r>
      <w:r w:rsidRPr="00667D29">
        <w:rPr>
          <w:rFonts w:ascii="Calibri" w:hAnsi="Calibri" w:cs="Calibri"/>
          <w:color w:val="000000"/>
          <w:sz w:val="24"/>
          <w:szCs w:val="24"/>
        </w:rPr>
        <w:t>) — covertly lurking in stealth — he is even more</w:t>
      </w:r>
      <w:r w:rsidRPr="00667D29">
        <w:rPr>
          <w:sz w:val="24"/>
          <w:szCs w:val="24"/>
        </w:rPr>
        <w:t xml:space="preserve"> </w:t>
      </w:r>
      <w:r w:rsidRPr="00667D29">
        <w:rPr>
          <w:rFonts w:ascii="Calibri" w:hAnsi="Calibri" w:cs="Calibri"/>
          <w:color w:val="000000"/>
          <w:sz w:val="24"/>
          <w:szCs w:val="24"/>
        </w:rPr>
        <w:t>insidious. If he is a liar, he causes even more devastating corruption. And if he is an internal enemy, his harm is far greater; because an internal enemy disintegrates inner firmness and scatters strength, unlike an external enemy, who only serves to fortify collective resolve.</w:t>
      </w:r>
    </w:p>
    <w:p w14:paraId="4D9C5775" w14:textId="77777777" w:rsidR="00667D29" w:rsidRPr="00667D29" w:rsidRDefault="00667D29" w:rsidP="00667D29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667D29">
        <w:rPr>
          <w:rFonts w:ascii="Calibri" w:hAnsi="Calibri" w:cs="Calibri"/>
          <w:color w:val="000000"/>
          <w:sz w:val="24"/>
          <w:szCs w:val="24"/>
        </w:rPr>
        <w:t xml:space="preserve">Alas! The betrayal of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nifâq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against Islam is truly catastrophic. Indeed, this present state of turmoil and disarray</w:t>
      </w:r>
      <w:r w:rsidRPr="00667D29">
        <w:rPr>
          <w:rStyle w:val="FootnoteReference"/>
          <w:rFonts w:ascii="Calibri" w:hAnsi="Calibri" w:cs="Calibri"/>
          <w:color w:val="000000"/>
          <w:sz w:val="24"/>
          <w:szCs w:val="24"/>
        </w:rPr>
        <w:footnoteReference w:id="3"/>
      </w:r>
      <w:r w:rsidRPr="00667D29">
        <w:rPr>
          <w:rFonts w:ascii="Calibri" w:hAnsi="Calibri" w:cs="Calibri"/>
          <w:color w:val="000000"/>
          <w:sz w:val="24"/>
          <w:szCs w:val="24"/>
        </w:rPr>
        <w:t xml:space="preserve"> originates entirely from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nifâq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itself. For this reason, the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Qur’ân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repeatedly and vehemently denounces them.</w:t>
      </w:r>
    </w:p>
    <w:p w14:paraId="01D3F2DB" w14:textId="77777777" w:rsidR="00667D29" w:rsidRPr="00667D29" w:rsidRDefault="00667D29" w:rsidP="00667D29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667D29">
        <w:rPr>
          <w:rFonts w:ascii="Calibri" w:hAnsi="Calibri" w:cs="Calibri"/>
          <w:b/>
          <w:bCs/>
          <w:color w:val="000000"/>
          <w:sz w:val="24"/>
          <w:szCs w:val="24"/>
        </w:rPr>
        <w:t xml:space="preserve">Secondly: </w:t>
      </w:r>
      <w:r w:rsidRPr="00667D29">
        <w:rPr>
          <w:rFonts w:ascii="Calibri" w:hAnsi="Calibri" w:cs="Calibri"/>
          <w:color w:val="000000"/>
          <w:sz w:val="24"/>
          <w:szCs w:val="24"/>
        </w:rPr>
        <w:t xml:space="preserve">Through his interaction with the mu’mins, the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munâfiq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gradually develops an affinity for them and grows accustomed to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îmân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little by little. Seeing his deeds condemned and his actions exposed as shameful, he becomes ready to feel repelled by his own condition; thus, the word of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tawhîd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(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Lâ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Ilâha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Illallâh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>) trickles drop by drop from his tongue into his heart.</w:t>
      </w:r>
      <w:r w:rsidRPr="00667D29">
        <w:rPr>
          <w:rStyle w:val="FootnoteReference"/>
          <w:rFonts w:ascii="Calibri" w:hAnsi="Calibri" w:cs="Calibri"/>
          <w:color w:val="000000"/>
          <w:sz w:val="24"/>
          <w:szCs w:val="24"/>
        </w:rPr>
        <w:footnoteReference w:id="4"/>
      </w:r>
    </w:p>
    <w:p w14:paraId="3B187CBF" w14:textId="77777777" w:rsidR="00667D29" w:rsidRPr="00667D29" w:rsidRDefault="00667D29" w:rsidP="00667D29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667D29">
        <w:rPr>
          <w:rFonts w:ascii="Calibri" w:hAnsi="Calibri" w:cs="Calibri"/>
          <w:b/>
          <w:color w:val="000000"/>
          <w:sz w:val="24"/>
          <w:szCs w:val="24"/>
        </w:rPr>
        <w:t>Thirdly:</w:t>
      </w:r>
      <w:r w:rsidRPr="00667D29">
        <w:rPr>
          <w:rFonts w:ascii="Calibri" w:hAnsi="Calibri" w:cs="Calibri"/>
          <w:color w:val="000000"/>
          <w:sz w:val="24"/>
          <w:szCs w:val="24"/>
        </w:rPr>
        <w:t xml:space="preserve"> The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munâfiq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adds further crimes on top of kufr, such as derision, deception, fraudulent misrepresentation, cunning schemes, lying and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riyâ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>.</w:t>
      </w:r>
    </w:p>
    <w:p w14:paraId="35768647" w14:textId="77777777" w:rsidR="00667D29" w:rsidRPr="00667D29" w:rsidRDefault="00667D29" w:rsidP="00667D29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667D29">
        <w:rPr>
          <w:rFonts w:ascii="Calibri" w:hAnsi="Calibri" w:cs="Calibri"/>
          <w:b/>
          <w:color w:val="000000"/>
          <w:sz w:val="24"/>
          <w:szCs w:val="24"/>
        </w:rPr>
        <w:t>Fourthly:</w:t>
      </w:r>
      <w:r w:rsidRPr="00667D29">
        <w:rPr>
          <w:rFonts w:ascii="Calibri" w:hAnsi="Calibri" w:cs="Calibri"/>
          <w:color w:val="000000"/>
          <w:sz w:val="24"/>
          <w:szCs w:val="24"/>
        </w:rPr>
        <w:t xml:space="preserve"> The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munâfiq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is most often from among the Ahl al-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Kitâb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and</w:t>
      </w:r>
      <w:r w:rsidRPr="00667D29">
        <w:rPr>
          <w:sz w:val="24"/>
          <w:szCs w:val="24"/>
        </w:rPr>
        <w:t xml:space="preserve"> </w:t>
      </w:r>
      <w:r w:rsidRPr="00667D29">
        <w:rPr>
          <w:rFonts w:ascii="Calibri" w:hAnsi="Calibri" w:cs="Calibri"/>
          <w:color w:val="000000"/>
          <w:sz w:val="24"/>
          <w:szCs w:val="24"/>
        </w:rPr>
        <w:t xml:space="preserve">from those given to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wahm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-driven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jarbaza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; he is thus a scheming, subversive plotter endowed with a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shaytanic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intellect. Expounding at length regarding him, therefore,</w:t>
      </w:r>
      <w:r w:rsidRPr="00667D29">
        <w:rPr>
          <w:sz w:val="24"/>
          <w:szCs w:val="24"/>
        </w:rPr>
        <w:t xml:space="preserve"> </w:t>
      </w:r>
      <w:r w:rsidRPr="00667D29">
        <w:rPr>
          <w:rFonts w:ascii="Calibri" w:hAnsi="Calibri" w:cs="Calibri"/>
          <w:color w:val="000000"/>
          <w:sz w:val="24"/>
          <w:szCs w:val="24"/>
        </w:rPr>
        <w:t xml:space="preserve">is far more profoundly in accord with 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balâghat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>.</w:t>
      </w:r>
    </w:p>
    <w:p w14:paraId="1F97A591" w14:textId="77777777" w:rsidR="00667D29" w:rsidRPr="00667D29" w:rsidRDefault="00667D29" w:rsidP="00667D29">
      <w:pPr>
        <w:jc w:val="center"/>
        <w:rPr>
          <w:sz w:val="24"/>
          <w:szCs w:val="24"/>
          <w:lang w:val="en-US"/>
        </w:rPr>
      </w:pPr>
    </w:p>
    <w:sectPr w:rsidR="00667D29" w:rsidRPr="00667D29" w:rsidSect="00630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B6BCE" w14:textId="77777777" w:rsidR="00DA5E8D" w:rsidRDefault="00DA5E8D" w:rsidP="00667D29">
      <w:pPr>
        <w:spacing w:before="0"/>
      </w:pPr>
      <w:r>
        <w:separator/>
      </w:r>
    </w:p>
  </w:endnote>
  <w:endnote w:type="continuationSeparator" w:id="0">
    <w:p w14:paraId="712CCD6F" w14:textId="77777777" w:rsidR="00DA5E8D" w:rsidRDefault="00DA5E8D" w:rsidP="00667D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629F6" w14:textId="77777777" w:rsidR="00DA5E8D" w:rsidRDefault="00DA5E8D" w:rsidP="00667D29">
      <w:pPr>
        <w:spacing w:before="0"/>
      </w:pPr>
      <w:r>
        <w:separator/>
      </w:r>
    </w:p>
  </w:footnote>
  <w:footnote w:type="continuationSeparator" w:id="0">
    <w:p w14:paraId="5DD856F6" w14:textId="77777777" w:rsidR="00DA5E8D" w:rsidRDefault="00DA5E8D" w:rsidP="00667D29">
      <w:pPr>
        <w:spacing w:before="0"/>
      </w:pPr>
      <w:r>
        <w:continuationSeparator/>
      </w:r>
    </w:p>
  </w:footnote>
  <w:footnote w:id="1">
    <w:p w14:paraId="1F0A28F0" w14:textId="77777777" w:rsidR="00667D29" w:rsidRPr="00667D29" w:rsidRDefault="00667D29" w:rsidP="00667D29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667D29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667D29">
        <w:rPr>
          <w:rFonts w:ascii="Calibri" w:hAnsi="Calibri" w:cs="Calibri"/>
          <w:sz w:val="24"/>
          <w:szCs w:val="24"/>
        </w:rPr>
        <w:t xml:space="preserve"> (Of </w:t>
      </w:r>
      <w:proofErr w:type="spellStart"/>
      <w:r w:rsidRPr="00667D29">
        <w:rPr>
          <w:rFonts w:ascii="Calibri" w:hAnsi="Calibri" w:cs="Calibri"/>
          <w:sz w:val="24"/>
          <w:szCs w:val="24"/>
        </w:rPr>
        <w:t>the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people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there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are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some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who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say: </w:t>
      </w:r>
      <w:proofErr w:type="spellStart"/>
      <w:r w:rsidRPr="00667D29">
        <w:rPr>
          <w:rFonts w:ascii="Calibri" w:hAnsi="Calibri" w:cs="Calibri"/>
          <w:sz w:val="24"/>
          <w:szCs w:val="24"/>
        </w:rPr>
        <w:t>we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believe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in Allah </w:t>
      </w:r>
      <w:proofErr w:type="spellStart"/>
      <w:r w:rsidRPr="00667D29">
        <w:rPr>
          <w:rFonts w:ascii="Calibri" w:hAnsi="Calibri" w:cs="Calibri"/>
          <w:sz w:val="24"/>
          <w:szCs w:val="24"/>
        </w:rPr>
        <w:t>and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667D29">
        <w:rPr>
          <w:rFonts w:ascii="Calibri" w:hAnsi="Calibri" w:cs="Calibri"/>
          <w:sz w:val="24"/>
          <w:szCs w:val="24"/>
        </w:rPr>
        <w:t>the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Last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Day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; but they do not </w:t>
      </w:r>
      <w:proofErr w:type="spellStart"/>
      <w:r w:rsidRPr="00667D29">
        <w:rPr>
          <w:rFonts w:ascii="Calibri" w:hAnsi="Calibri" w:cs="Calibri"/>
          <w:sz w:val="24"/>
          <w:szCs w:val="24"/>
        </w:rPr>
        <w:t>really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believe</w:t>
      </w:r>
      <w:proofErr w:type="spellEnd"/>
      <w:r w:rsidRPr="00667D29">
        <w:rPr>
          <w:rFonts w:ascii="Calibri" w:hAnsi="Calibri" w:cs="Calibri"/>
          <w:sz w:val="24"/>
          <w:szCs w:val="24"/>
        </w:rPr>
        <w:t>.)</w:t>
      </w:r>
    </w:p>
  </w:footnote>
  <w:footnote w:id="2">
    <w:p w14:paraId="63D13C2D" w14:textId="77777777" w:rsidR="00667D29" w:rsidRPr="00667D29" w:rsidRDefault="00667D29" w:rsidP="00667D29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667D29">
        <w:rPr>
          <w:rStyle w:val="FootnoteReference"/>
          <w:rFonts w:ascii="Calibri" w:hAnsi="Calibri" w:cs="Calibri"/>
          <w:sz w:val="24"/>
          <w:szCs w:val="24"/>
        </w:rPr>
        <w:footnoteRef/>
      </w:r>
      <w:r w:rsidRPr="00667D29">
        <w:rPr>
          <w:rFonts w:ascii="Calibri" w:hAnsi="Calibri" w:cs="Calibri"/>
          <w:sz w:val="24"/>
          <w:szCs w:val="24"/>
        </w:rPr>
        <w:t xml:space="preserve"> (</w:t>
      </w:r>
      <w:r w:rsidRPr="00667D29">
        <w:rPr>
          <w:rFonts w:ascii="Calibri" w:hAnsi="Calibri" w:cs="Calibri"/>
          <w:color w:val="000000"/>
          <w:sz w:val="24"/>
          <w:szCs w:val="24"/>
        </w:rPr>
        <w:t xml:space="preserve">Author's Note: </w:t>
      </w:r>
      <w:r w:rsidRPr="00667D29">
        <w:rPr>
          <w:rFonts w:ascii="Calibri" w:hAnsi="Calibri" w:cs="Calibri"/>
          <w:color w:val="FF0000"/>
          <w:sz w:val="28"/>
          <w:szCs w:val="28"/>
          <w:rtl/>
        </w:rPr>
        <w:t>الخُنُوس</w:t>
      </w:r>
      <w:r w:rsidRPr="00667D29">
        <w:rPr>
          <w:rFonts w:ascii="Calibri" w:hAnsi="Calibri" w:cs="Calibri"/>
          <w:color w:val="000000"/>
          <w:sz w:val="24"/>
          <w:szCs w:val="24"/>
        </w:rPr>
        <w:t>-Al-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khunûs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 xml:space="preserve"> denotes shrinking back, concealing oneself and stealthily hiding.)</w:t>
      </w:r>
    </w:p>
    <w:p w14:paraId="6CFE8501" w14:textId="77777777" w:rsidR="00667D29" w:rsidRPr="00667D29" w:rsidRDefault="00667D29" w:rsidP="00667D29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667D29">
        <w:rPr>
          <w:rFonts w:ascii="Calibri" w:hAnsi="Calibri" w:cs="Calibri"/>
          <w:color w:val="000000"/>
          <w:sz w:val="24"/>
          <w:szCs w:val="24"/>
        </w:rPr>
        <w:t xml:space="preserve">(Translator’s Note: Both the word </w:t>
      </w:r>
      <w:r w:rsidRPr="00667D29">
        <w:rPr>
          <w:rFonts w:ascii="Calibri" w:hAnsi="Calibri" w:cs="Calibri"/>
          <w:color w:val="FF0000"/>
          <w:sz w:val="28"/>
          <w:szCs w:val="28"/>
          <w:rtl/>
        </w:rPr>
        <w:t>مُخَنّس</w:t>
      </w:r>
      <w:r w:rsidRPr="00667D29"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r w:rsidRPr="00667D29">
        <w:rPr>
          <w:rFonts w:ascii="Calibri" w:hAnsi="Calibri" w:cs="Calibri"/>
          <w:color w:val="000000" w:themeColor="text1"/>
          <w:sz w:val="24"/>
          <w:szCs w:val="24"/>
        </w:rPr>
        <w:t>in the</w:t>
      </w:r>
      <w:r w:rsidRPr="00667D29"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r w:rsidRPr="00667D29">
        <w:rPr>
          <w:rFonts w:ascii="Calibri" w:hAnsi="Calibri" w:cs="Calibri"/>
          <w:color w:val="000000" w:themeColor="text1"/>
          <w:sz w:val="24"/>
          <w:szCs w:val="24"/>
        </w:rPr>
        <w:t xml:space="preserve">text and the word </w:t>
      </w:r>
      <w:r w:rsidRPr="00667D29">
        <w:rPr>
          <w:rFonts w:ascii="Calibri" w:hAnsi="Calibri" w:cs="Calibri"/>
          <w:color w:val="FF0000"/>
          <w:sz w:val="28"/>
          <w:szCs w:val="28"/>
          <w:rtl/>
        </w:rPr>
        <w:t>الخُنُوس</w:t>
      </w:r>
      <w:r w:rsidRPr="00667D29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667D29">
        <w:rPr>
          <w:rFonts w:ascii="Calibri" w:hAnsi="Calibri" w:cs="Calibri"/>
          <w:color w:val="000000" w:themeColor="text1"/>
          <w:sz w:val="24"/>
          <w:szCs w:val="24"/>
        </w:rPr>
        <w:t xml:space="preserve">in the author's note are derived from the root of the word </w:t>
      </w:r>
      <w:r w:rsidRPr="00667D29">
        <w:rPr>
          <w:rFonts w:ascii="Calibri" w:hAnsi="Calibri" w:cs="Calibri"/>
          <w:color w:val="EE0000"/>
          <w:sz w:val="28"/>
          <w:szCs w:val="28"/>
          <w:rtl/>
        </w:rPr>
        <w:t>الْخَنَّاسِۙ</w:t>
      </w:r>
      <w:r w:rsidRPr="00667D29">
        <w:rPr>
          <w:rFonts w:ascii="Calibri" w:hAnsi="Calibri" w:cs="Calibri"/>
          <w:color w:val="EE0000"/>
          <w:sz w:val="28"/>
          <w:szCs w:val="28"/>
        </w:rPr>
        <w:t xml:space="preserve"> </w:t>
      </w:r>
      <w:r w:rsidRPr="00667D29">
        <w:rPr>
          <w:rFonts w:ascii="Calibri" w:hAnsi="Calibri" w:cs="Calibri"/>
          <w:color w:val="000000"/>
          <w:sz w:val="24"/>
          <w:szCs w:val="24"/>
        </w:rPr>
        <w:t>in the surah an-</w:t>
      </w:r>
      <w:proofErr w:type="spellStart"/>
      <w:r w:rsidRPr="00667D29">
        <w:rPr>
          <w:rFonts w:ascii="Calibri" w:hAnsi="Calibri" w:cs="Calibri"/>
          <w:color w:val="000000"/>
          <w:sz w:val="24"/>
          <w:szCs w:val="24"/>
        </w:rPr>
        <w:t>Nâss</w:t>
      </w:r>
      <w:proofErr w:type="spellEnd"/>
      <w:r w:rsidRPr="00667D29">
        <w:rPr>
          <w:rFonts w:ascii="Calibri" w:hAnsi="Calibri" w:cs="Calibri"/>
          <w:color w:val="000000"/>
          <w:sz w:val="24"/>
          <w:szCs w:val="24"/>
        </w:rPr>
        <w:t>.)</w:t>
      </w:r>
    </w:p>
  </w:footnote>
  <w:footnote w:id="3">
    <w:p w14:paraId="7B415E76" w14:textId="77777777" w:rsidR="00667D29" w:rsidRPr="00667D29" w:rsidRDefault="00667D29" w:rsidP="00667D29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  <w:r w:rsidRPr="00667D29">
        <w:rPr>
          <w:rStyle w:val="FootnoteReference"/>
          <w:rFonts w:ascii="Calibri" w:hAnsi="Calibri" w:cs="Calibri"/>
          <w:sz w:val="24"/>
          <w:szCs w:val="24"/>
        </w:rPr>
        <w:footnoteRef/>
      </w:r>
      <w:r w:rsidRPr="00667D29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667D29">
        <w:rPr>
          <w:rFonts w:ascii="Calibri" w:hAnsi="Calibri" w:cs="Calibri"/>
          <w:sz w:val="24"/>
          <w:szCs w:val="24"/>
        </w:rPr>
        <w:t>Author's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Note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667D29">
        <w:rPr>
          <w:rFonts w:ascii="Calibri" w:hAnsi="Calibri" w:cs="Calibri"/>
          <w:sz w:val="24"/>
          <w:szCs w:val="24"/>
        </w:rPr>
        <w:t>To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cause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turmoil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and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disarray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667D29">
        <w:rPr>
          <w:rFonts w:ascii="Calibri" w:hAnsi="Calibri" w:cs="Calibri"/>
          <w:sz w:val="24"/>
          <w:szCs w:val="24"/>
        </w:rPr>
        <w:t>mushawwashiyyah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) </w:t>
      </w:r>
      <w:proofErr w:type="spellStart"/>
      <w:r w:rsidRPr="00667D29">
        <w:rPr>
          <w:rFonts w:ascii="Calibri" w:hAnsi="Calibri" w:cs="Calibri"/>
          <w:sz w:val="24"/>
          <w:szCs w:val="24"/>
        </w:rPr>
        <w:t>means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to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muddle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667D29">
        <w:rPr>
          <w:rFonts w:ascii="Calibri" w:hAnsi="Calibri" w:cs="Calibri"/>
          <w:sz w:val="24"/>
          <w:szCs w:val="24"/>
        </w:rPr>
        <w:t>matter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and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throw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it </w:t>
      </w:r>
      <w:proofErr w:type="spellStart"/>
      <w:r w:rsidRPr="00667D29">
        <w:rPr>
          <w:rFonts w:ascii="Calibri" w:hAnsi="Calibri" w:cs="Calibri"/>
          <w:sz w:val="24"/>
          <w:szCs w:val="24"/>
        </w:rPr>
        <w:t>into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chaos</w:t>
      </w:r>
      <w:proofErr w:type="spellEnd"/>
      <w:r w:rsidRPr="00667D29">
        <w:rPr>
          <w:rFonts w:ascii="Calibri" w:hAnsi="Calibri" w:cs="Calibri"/>
          <w:sz w:val="24"/>
          <w:szCs w:val="24"/>
        </w:rPr>
        <w:t>.)</w:t>
      </w:r>
    </w:p>
  </w:footnote>
  <w:footnote w:id="4">
    <w:p w14:paraId="15D1D2AD" w14:textId="77777777" w:rsidR="00667D29" w:rsidRPr="00667D29" w:rsidRDefault="00667D29" w:rsidP="00667D29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667D29">
        <w:rPr>
          <w:rStyle w:val="FootnoteReference"/>
          <w:rFonts w:ascii="Calibri" w:hAnsi="Calibri" w:cs="Calibri"/>
          <w:sz w:val="24"/>
          <w:szCs w:val="24"/>
        </w:rPr>
        <w:footnoteRef/>
      </w:r>
      <w:r w:rsidRPr="00667D29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667D29">
        <w:rPr>
          <w:rFonts w:ascii="Calibri" w:hAnsi="Calibri" w:cs="Calibri"/>
          <w:sz w:val="24"/>
          <w:szCs w:val="24"/>
        </w:rPr>
        <w:t>The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following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explanation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is </w:t>
      </w:r>
      <w:proofErr w:type="spellStart"/>
      <w:r w:rsidRPr="00667D29">
        <w:rPr>
          <w:rFonts w:ascii="Calibri" w:hAnsi="Calibri" w:cs="Calibri"/>
          <w:sz w:val="24"/>
          <w:szCs w:val="24"/>
        </w:rPr>
        <w:t>included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in Abdülkadir </w:t>
      </w:r>
      <w:proofErr w:type="spellStart"/>
      <w:r w:rsidRPr="00667D29">
        <w:rPr>
          <w:rFonts w:ascii="Calibri" w:hAnsi="Calibri" w:cs="Calibri"/>
          <w:sz w:val="24"/>
          <w:szCs w:val="24"/>
        </w:rPr>
        <w:t>Badıllı’s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translation</w:t>
      </w:r>
      <w:proofErr w:type="spellEnd"/>
      <w:r w:rsidRPr="00667D29">
        <w:rPr>
          <w:rFonts w:ascii="Calibri" w:hAnsi="Calibri" w:cs="Calibri"/>
          <w:sz w:val="24"/>
          <w:szCs w:val="24"/>
        </w:rPr>
        <w:t>:</w:t>
      </w:r>
    </w:p>
    <w:p w14:paraId="2D8BE96D" w14:textId="77777777" w:rsidR="00667D29" w:rsidRPr="00667D29" w:rsidRDefault="00667D29" w:rsidP="00667D29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667D29">
        <w:rPr>
          <w:rFonts w:ascii="Calibri" w:hAnsi="Calibri" w:cs="Calibri"/>
          <w:sz w:val="24"/>
          <w:szCs w:val="24"/>
        </w:rPr>
        <w:t>“</w:t>
      </w:r>
      <w:proofErr w:type="spellStart"/>
      <w:r w:rsidRPr="00667D29">
        <w:rPr>
          <w:rFonts w:ascii="Calibri" w:hAnsi="Calibri" w:cs="Calibri"/>
          <w:sz w:val="24"/>
          <w:szCs w:val="24"/>
        </w:rPr>
        <w:t>For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hikmahs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such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as </w:t>
      </w:r>
      <w:proofErr w:type="spellStart"/>
      <w:r w:rsidRPr="00667D29">
        <w:rPr>
          <w:rFonts w:ascii="Calibri" w:hAnsi="Calibri" w:cs="Calibri"/>
          <w:sz w:val="24"/>
          <w:szCs w:val="24"/>
        </w:rPr>
        <w:t>these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7D29">
        <w:rPr>
          <w:rFonts w:ascii="Calibri" w:hAnsi="Calibri" w:cs="Calibri"/>
          <w:sz w:val="24"/>
          <w:szCs w:val="24"/>
        </w:rPr>
        <w:t>the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attributes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and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descriptions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667D29">
        <w:rPr>
          <w:rFonts w:ascii="Calibri" w:hAnsi="Calibri" w:cs="Calibri"/>
          <w:sz w:val="24"/>
          <w:szCs w:val="24"/>
        </w:rPr>
        <w:t>the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munâfiqs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have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been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so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frequently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7D29">
        <w:rPr>
          <w:rFonts w:ascii="Calibri" w:hAnsi="Calibri" w:cs="Calibri"/>
          <w:sz w:val="24"/>
          <w:szCs w:val="24"/>
        </w:rPr>
        <w:t>mentioned</w:t>
      </w:r>
      <w:proofErr w:type="spellEnd"/>
      <w:r w:rsidRPr="00667D29">
        <w:rPr>
          <w:rFonts w:ascii="Calibri" w:hAnsi="Calibri" w:cs="Calibri"/>
          <w:sz w:val="24"/>
          <w:szCs w:val="24"/>
        </w:rPr>
        <w:t xml:space="preserve">.”) </w:t>
      </w:r>
      <w:r w:rsidRPr="00667D29">
        <w:rPr>
          <w:rFonts w:ascii="Calibri" w:hAnsi="Calibri" w:cs="Calibri"/>
          <w:i/>
          <w:iCs/>
          <w:sz w:val="24"/>
          <w:szCs w:val="24"/>
        </w:rPr>
        <w:t>(Tr.)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29"/>
    <w:rsid w:val="000B10D0"/>
    <w:rsid w:val="004C43B3"/>
    <w:rsid w:val="006302EA"/>
    <w:rsid w:val="00667D29"/>
    <w:rsid w:val="006B02E2"/>
    <w:rsid w:val="007341CE"/>
    <w:rsid w:val="0075733D"/>
    <w:rsid w:val="008474D2"/>
    <w:rsid w:val="009F1297"/>
    <w:rsid w:val="00DA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D506"/>
  <w15:chartTrackingRefBased/>
  <w15:docId w15:val="{C27FC975-632A-4133-9913-2D001BE0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D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D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D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D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D29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D29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D2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D2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D29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D2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D29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D2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D2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D2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D2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67D2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D2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D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D2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67D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D2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67D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D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D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D29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67D29"/>
    <w:rPr>
      <w:b/>
      <w:bCs/>
      <w:smallCaps/>
      <w:color w:val="2F5496" w:themeColor="accent1" w:themeShade="BF"/>
      <w:spacing w:val="5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locked/>
    <w:rsid w:val="00667D29"/>
    <w:rPr>
      <w:rFonts w:ascii="Times New Roman" w:hAnsi="Times New Roman" w:cs="Times New Roman"/>
      <w:sz w:val="20"/>
      <w:szCs w:val="20"/>
      <w:lang w:eastAsia="tr-TR" w:bidi="ar-AE"/>
    </w:rPr>
  </w:style>
  <w:style w:type="character" w:customStyle="1" w:styleId="DipnotSabitleyicisi">
    <w:name w:val="Dipnot Sabitleyicisi"/>
    <w:uiPriority w:val="99"/>
    <w:rsid w:val="00667D29"/>
    <w:rPr>
      <w:vertAlign w:val="superscript"/>
    </w:rPr>
  </w:style>
  <w:style w:type="character" w:customStyle="1" w:styleId="DipnotKarakterleri">
    <w:name w:val="Dipnot Karakterleri"/>
    <w:qFormat/>
    <w:rsid w:val="00667D29"/>
  </w:style>
  <w:style w:type="paragraph" w:styleId="FootnoteText">
    <w:name w:val="footnote text"/>
    <w:basedOn w:val="Normal"/>
    <w:link w:val="FootnoteTextChar"/>
    <w:uiPriority w:val="99"/>
    <w:rsid w:val="00667D29"/>
    <w:pPr>
      <w:spacing w:before="0"/>
    </w:pPr>
    <w:rPr>
      <w:rFonts w:ascii="Times New Roman" w:hAnsi="Times New Roman" w:cs="Times New Roman"/>
      <w:sz w:val="20"/>
      <w:szCs w:val="20"/>
      <w:lang w:val="tr-TR" w:eastAsia="tr-TR" w:bidi="ar-AE"/>
    </w:rPr>
  </w:style>
  <w:style w:type="character" w:customStyle="1" w:styleId="FootnoteTextChar1">
    <w:name w:val="Footnote Text Char1"/>
    <w:basedOn w:val="DefaultParagraphFont"/>
    <w:uiPriority w:val="99"/>
    <w:semiHidden/>
    <w:rsid w:val="00667D29"/>
    <w:rPr>
      <w:sz w:val="20"/>
      <w:szCs w:val="20"/>
      <w:lang w:val="en-GB"/>
    </w:rPr>
  </w:style>
  <w:style w:type="character" w:styleId="FootnoteReference">
    <w:name w:val="footnote reference"/>
    <w:basedOn w:val="DefaultParagraphFont"/>
    <w:rsid w:val="0066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zulal durukan</dc:creator>
  <cp:keywords/>
  <dc:description/>
  <cp:lastModifiedBy>zulal durukan</cp:lastModifiedBy>
  <cp:revision>1</cp:revision>
  <dcterms:created xsi:type="dcterms:W3CDTF">2026-08-08T13:08:00Z</dcterms:created>
  <dcterms:modified xsi:type="dcterms:W3CDTF">2026-08-08T13:09:00Z</dcterms:modified>
</cp:coreProperties>
</file>